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Arial"/>
          <w:b/>
          <w:bCs/>
          <w:color w:val="000000" w:themeColor="text1"/>
          <w:szCs w:val="20"/>
          <w14:textFill>
            <w14:solidFill>
              <w14:schemeClr w14:val="tx1"/>
            </w14:solidFill>
          </w14:textFill>
        </w:rPr>
      </w:pPr>
      <w:r>
        <w:rPr>
          <w:rFonts w:cs="Arial"/>
          <w:b/>
          <w:bCs/>
          <w:color w:val="000000" w:themeColor="text1"/>
          <w:szCs w:val="20"/>
          <w14:textFill>
            <w14:solidFill>
              <w14:schemeClr w14:val="tx1"/>
            </w14:solidFill>
          </w14:textFill>
        </w:rPr>
        <w:t>ANEXO I</w:t>
      </w:r>
    </w:p>
    <w:p>
      <w:pPr>
        <w:spacing w:line="360" w:lineRule="auto"/>
        <w:jc w:val="center"/>
        <w:rPr>
          <w:rFonts w:cs="Arial"/>
          <w:b/>
          <w:bCs/>
          <w:color w:val="000000" w:themeColor="text1"/>
          <w:szCs w:val="20"/>
          <w14:textFill>
            <w14:solidFill>
              <w14:schemeClr w14:val="tx1"/>
            </w14:solidFill>
          </w14:textFill>
        </w:rPr>
      </w:pPr>
      <w:r>
        <w:rPr>
          <w:rFonts w:cs="Arial"/>
          <w:b/>
          <w:bCs/>
          <w:color w:val="000000" w:themeColor="text1"/>
          <w:szCs w:val="20"/>
          <w14:textFill>
            <w14:solidFill>
              <w14:schemeClr w14:val="tx1"/>
            </w14:solidFill>
          </w14:textFill>
        </w:rPr>
        <w:t>PREGÃO Nº 11/2019</w:t>
      </w:r>
    </w:p>
    <w:p>
      <w:pPr>
        <w:spacing w:line="360" w:lineRule="auto"/>
        <w:jc w:val="center"/>
        <w:rPr>
          <w:rFonts w:cs="Arial"/>
          <w:b/>
          <w:bCs/>
          <w:color w:val="000000" w:themeColor="text1"/>
          <w:szCs w:val="20"/>
          <w14:textFill>
            <w14:solidFill>
              <w14:schemeClr w14:val="tx1"/>
            </w14:solidFill>
          </w14:textFill>
        </w:rPr>
      </w:pPr>
      <w:r>
        <w:rPr>
          <w:rFonts w:cs="Arial"/>
          <w:b/>
          <w:bCs/>
          <w:color w:val="000000" w:themeColor="text1"/>
          <w:szCs w:val="20"/>
          <w14:textFill>
            <w14:solidFill>
              <w14:schemeClr w14:val="tx1"/>
            </w14:solidFill>
          </w14:textFill>
        </w:rPr>
        <w:t>(Processo Administrativo n.º</w:t>
      </w:r>
      <w:r>
        <w:rPr>
          <w:rFonts w:cs="Arial"/>
          <w:color w:val="000000" w:themeColor="text1"/>
          <w:szCs w:val="20"/>
          <w14:textFill>
            <w14:solidFill>
              <w14:schemeClr w14:val="tx1"/>
            </w14:solidFill>
          </w14:textFill>
        </w:rPr>
        <w:t xml:space="preserve"> </w:t>
      </w:r>
      <w:r>
        <w:rPr>
          <w:rFonts w:cs="Arial"/>
          <w:b/>
          <w:bCs/>
          <w:color w:val="000000" w:themeColor="text1"/>
          <w:szCs w:val="20"/>
          <w14:textFill>
            <w14:solidFill>
              <w14:schemeClr w14:val="tx1"/>
            </w14:solidFill>
          </w14:textFill>
        </w:rPr>
        <w:t>23381.000096.2018-10)</w:t>
      </w:r>
    </w:p>
    <w:p>
      <w:pPr>
        <w:spacing w:line="360" w:lineRule="auto"/>
        <w:jc w:val="center"/>
        <w:rPr>
          <w:rFonts w:cs="Arial"/>
          <w:b/>
          <w:bCs/>
          <w:color w:val="000000" w:themeColor="text1"/>
          <w:szCs w:val="20"/>
          <w14:textFill>
            <w14:solidFill>
              <w14:schemeClr w14:val="tx1"/>
            </w14:solidFill>
          </w14:textFill>
        </w:rPr>
      </w:pPr>
      <w:r>
        <w:rPr>
          <w:rFonts w:cs="Arial"/>
          <w:b/>
          <w:bCs/>
          <w:color w:val="000000" w:themeColor="text1"/>
          <w:szCs w:val="20"/>
          <w14:textFill>
            <w14:solidFill>
              <w14:schemeClr w14:val="tx1"/>
            </w14:solidFill>
          </w14:textFill>
        </w:rPr>
        <w:t>Termo de Referência</w:t>
      </w:r>
    </w:p>
    <w:p>
      <w:pPr>
        <w:spacing w:line="360" w:lineRule="auto"/>
        <w:ind w:right="-15"/>
        <w:jc w:val="center"/>
        <w:rPr>
          <w:rFonts w:cs="Arial"/>
          <w:b/>
          <w:bCs/>
          <w:color w:val="000000" w:themeColor="text1"/>
          <w:szCs w:val="20"/>
          <w14:textFill>
            <w14:solidFill>
              <w14:schemeClr w14:val="tx1"/>
            </w14:solidFill>
          </w14:textFill>
        </w:rPr>
      </w:pPr>
    </w:p>
    <w:p>
      <w:pPr>
        <w:pStyle w:val="31"/>
        <w:spacing w:before="0" w:after="0" w:line="360" w:lineRule="auto"/>
        <w:rPr>
          <w:color w:val="000000" w:themeColor="text1"/>
          <w14:textFill>
            <w14:solidFill>
              <w14:schemeClr w14:val="tx1"/>
            </w14:solidFill>
          </w14:textFill>
        </w:rPr>
      </w:pPr>
      <w:r>
        <w:rPr>
          <w:color w:val="000000" w:themeColor="text1"/>
          <w14:textFill>
            <w14:solidFill>
              <w14:schemeClr w14:val="tx1"/>
            </w14:solidFill>
          </w14:textFill>
        </w:rPr>
        <w:t>DO OBJETO</w:t>
      </w:r>
    </w:p>
    <w:p>
      <w:pPr>
        <w:spacing w:line="360" w:lineRule="auto"/>
        <w:rPr>
          <w:rFonts w:cs="Arial"/>
        </w:rPr>
      </w:pPr>
    </w:p>
    <w:p>
      <w:pPr>
        <w:numPr>
          <w:ilvl w:val="1"/>
          <w:numId w:val="2"/>
        </w:numPr>
        <w:spacing w:line="360" w:lineRule="auto"/>
        <w:ind w:left="0" w:right="-1" w:firstLine="0"/>
        <w:jc w:val="both"/>
        <w:rPr>
          <w:rFonts w:cs="Arial"/>
          <w:b/>
          <w:color w:val="000000" w:themeColor="text1"/>
          <w:szCs w:val="20"/>
          <w14:textFill>
            <w14:solidFill>
              <w14:schemeClr w14:val="tx1"/>
            </w14:solidFill>
          </w14:textFill>
        </w:rPr>
      </w:pPr>
      <w:bookmarkStart w:id="3" w:name="_GoBack"/>
      <w:r>
        <w:rPr>
          <w:rFonts w:cs="Arial"/>
          <w:color w:val="000000" w:themeColor="text1"/>
          <w:szCs w:val="20"/>
          <w14:textFill>
            <w14:solidFill>
              <w14:schemeClr w14:val="tx1"/>
            </w14:solidFill>
          </w14:textFill>
        </w:rPr>
        <w:t xml:space="preserve">Aquisição incluindo os serviços de instalação de </w:t>
      </w:r>
      <w:r>
        <w:rPr>
          <w:rFonts w:hint="default" w:cs="Arial"/>
          <w:color w:val="000000" w:themeColor="text1"/>
          <w:szCs w:val="20"/>
          <w:lang w:val="pt-BR"/>
          <w14:textFill>
            <w14:solidFill>
              <w14:schemeClr w14:val="tx1"/>
            </w14:solidFill>
          </w14:textFill>
        </w:rPr>
        <w:t xml:space="preserve">dois </w:t>
      </w:r>
      <w:r>
        <w:rPr>
          <w:rFonts w:cs="Arial"/>
          <w:color w:val="000000" w:themeColor="text1"/>
          <w:szCs w:val="20"/>
          <w14:textFill>
            <w14:solidFill>
              <w14:schemeClr w14:val="tx1"/>
            </w14:solidFill>
          </w14:textFill>
        </w:rPr>
        <w:t>elevador</w:t>
      </w:r>
      <w:r>
        <w:rPr>
          <w:rFonts w:hint="default" w:cs="Arial"/>
          <w:color w:val="000000" w:themeColor="text1"/>
          <w:szCs w:val="20"/>
          <w:lang w:val="pt-BR"/>
          <w14:textFill>
            <w14:solidFill>
              <w14:schemeClr w14:val="tx1"/>
            </w14:solidFill>
          </w14:textFill>
        </w:rPr>
        <w:t>es</w:t>
      </w:r>
      <w:r>
        <w:rPr>
          <w:rFonts w:cs="Arial"/>
          <w:color w:val="000000" w:themeColor="text1"/>
          <w:szCs w:val="20"/>
          <w14:textFill>
            <w14:solidFill>
              <w14:schemeClr w14:val="tx1"/>
            </w14:solidFill>
          </w14:textFill>
        </w:rPr>
        <w:t xml:space="preserve"> de tração elétrica em aço inox escovado, capacidade de 650kg a 675kg (08 a 09 passageiros), para atender às necessidades do Instituto Federal da Paraíba – IFPB/Campus João Pessoa, conforme especificações, quantitativos e condições descritas neste instrumento.</w:t>
      </w:r>
    </w:p>
    <w:bookmarkEnd w:id="3"/>
    <w:p>
      <w:pPr>
        <w:spacing w:line="360" w:lineRule="auto"/>
        <w:ind w:left="425"/>
        <w:jc w:val="center"/>
        <w:rPr>
          <w:rFonts w:cs="Arial"/>
          <w:b/>
          <w:i/>
          <w:color w:val="000000" w:themeColor="text1"/>
          <w:szCs w:val="20"/>
          <w14:textFill>
            <w14:solidFill>
              <w14:schemeClr w14:val="tx1"/>
            </w14:solidFill>
          </w14:textFill>
        </w:rPr>
      </w:pPr>
    </w:p>
    <w:tbl>
      <w:tblPr>
        <w:tblStyle w:val="15"/>
        <w:tblW w:w="98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9"/>
        <w:gridCol w:w="3231"/>
        <w:gridCol w:w="1112"/>
        <w:gridCol w:w="1111"/>
        <w:gridCol w:w="978"/>
        <w:gridCol w:w="1392"/>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699" w:type="dxa"/>
          </w:tcPr>
          <w:p>
            <w:pPr>
              <w:widowControl w:val="0"/>
              <w:suppressAutoHyphens/>
              <w:spacing w:line="360" w:lineRule="auto"/>
              <w:jc w:val="center"/>
              <w:rPr>
                <w:rFonts w:cs="Arial"/>
                <w:b/>
                <w:bCs/>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ITEM</w:t>
            </w:r>
          </w:p>
          <w:p>
            <w:pPr>
              <w:widowControl w:val="0"/>
              <w:suppressAutoHyphens/>
              <w:spacing w:line="360" w:lineRule="auto"/>
              <w:jc w:val="center"/>
              <w:rPr>
                <w:rFonts w:cs="Arial"/>
                <w:b/>
                <w:color w:val="000000" w:themeColor="text1"/>
                <w:sz w:val="16"/>
                <w:szCs w:val="16"/>
                <w14:textFill>
                  <w14:solidFill>
                    <w14:schemeClr w14:val="tx1"/>
                  </w14:solidFill>
                </w14:textFill>
              </w:rPr>
            </w:pPr>
          </w:p>
        </w:tc>
        <w:tc>
          <w:tcPr>
            <w:tcW w:w="3231" w:type="dxa"/>
          </w:tcPr>
          <w:p>
            <w:pPr>
              <w:spacing w:line="360" w:lineRule="auto"/>
              <w:jc w:val="center"/>
              <w:rPr>
                <w:rFonts w:cs="Arial"/>
                <w:b/>
                <w:bCs/>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DESCRIÇÃO/</w:t>
            </w:r>
          </w:p>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ESPECIFICAÇÃO</w:t>
            </w:r>
          </w:p>
        </w:tc>
        <w:tc>
          <w:tcPr>
            <w:tcW w:w="1112" w:type="dxa"/>
          </w:tcPr>
          <w:p>
            <w:pPr>
              <w:widowControl w:val="0"/>
              <w:suppressAutoHyphens/>
              <w:spacing w:line="360" w:lineRule="auto"/>
              <w:jc w:val="center"/>
              <w:rPr>
                <w:rFonts w:cs="Arial"/>
                <w:b/>
                <w:bCs/>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IDENT.</w:t>
            </w:r>
          </w:p>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 xml:space="preserve"> CATMAT</w:t>
            </w:r>
          </w:p>
        </w:tc>
        <w:tc>
          <w:tcPr>
            <w:tcW w:w="1111" w:type="dxa"/>
          </w:tcPr>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UNID.DE MEDIDA</w:t>
            </w:r>
          </w:p>
        </w:tc>
        <w:tc>
          <w:tcPr>
            <w:tcW w:w="978" w:type="dxa"/>
          </w:tcPr>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b/>
                <w:bCs/>
                <w:color w:val="000000" w:themeColor="text1"/>
                <w:sz w:val="16"/>
                <w:szCs w:val="16"/>
                <w14:textFill>
                  <w14:solidFill>
                    <w14:schemeClr w14:val="tx1"/>
                  </w14:solidFill>
                </w14:textFill>
              </w:rPr>
              <w:t>QUANT.</w:t>
            </w:r>
          </w:p>
        </w:tc>
        <w:tc>
          <w:tcPr>
            <w:tcW w:w="1392" w:type="dxa"/>
          </w:tcPr>
          <w:p>
            <w:pPr>
              <w:widowControl w:val="0"/>
              <w:suppressAutoHyphens/>
              <w:spacing w:line="360" w:lineRule="auto"/>
              <w:jc w:val="center"/>
              <w:rPr>
                <w:rFonts w:cs="Arial"/>
                <w:b/>
                <w:bCs/>
                <w:i/>
                <w:color w:val="000000" w:themeColor="text1"/>
                <w:sz w:val="16"/>
                <w:szCs w:val="16"/>
                <w14:textFill>
                  <w14:solidFill>
                    <w14:schemeClr w14:val="tx1"/>
                  </w14:solidFill>
                </w14:textFill>
              </w:rPr>
            </w:pPr>
            <w:r>
              <w:rPr>
                <w:rFonts w:cs="Arial"/>
                <w:b/>
                <w:bCs/>
                <w:i/>
                <w:color w:val="000000" w:themeColor="text1"/>
                <w:sz w:val="16"/>
                <w:szCs w:val="16"/>
                <w14:textFill>
                  <w14:solidFill>
                    <w14:schemeClr w14:val="tx1"/>
                  </w14:solidFill>
                </w14:textFill>
              </w:rPr>
              <w:t>VALOR UNITÁRIO</w:t>
            </w:r>
          </w:p>
          <w:p>
            <w:pPr>
              <w:widowControl w:val="0"/>
              <w:suppressAutoHyphens/>
              <w:spacing w:line="360" w:lineRule="auto"/>
              <w:jc w:val="center"/>
              <w:rPr>
                <w:rFonts w:cs="Arial"/>
                <w:b/>
                <w:bCs/>
                <w:i/>
                <w:color w:val="000000" w:themeColor="text1"/>
                <w:sz w:val="16"/>
                <w:szCs w:val="16"/>
                <w14:textFill>
                  <w14:solidFill>
                    <w14:schemeClr w14:val="tx1"/>
                  </w14:solidFill>
                </w14:textFill>
              </w:rPr>
            </w:pPr>
            <w:r>
              <w:rPr>
                <w:rFonts w:cs="Arial"/>
                <w:b/>
                <w:bCs/>
                <w:i/>
                <w:color w:val="000000" w:themeColor="text1"/>
                <w:sz w:val="16"/>
                <w:szCs w:val="16"/>
                <w14:textFill>
                  <w14:solidFill>
                    <w14:schemeClr w14:val="tx1"/>
                  </w14:solidFill>
                </w14:textFill>
              </w:rPr>
              <w:t>MÁX.</w:t>
            </w:r>
          </w:p>
          <w:p>
            <w:pPr>
              <w:widowControl w:val="0"/>
              <w:suppressAutoHyphens/>
              <w:spacing w:line="360" w:lineRule="auto"/>
              <w:jc w:val="center"/>
              <w:rPr>
                <w:rFonts w:cs="Arial"/>
                <w:b/>
                <w:bCs/>
                <w:i/>
                <w:color w:val="000000" w:themeColor="text1"/>
                <w:sz w:val="16"/>
                <w:szCs w:val="16"/>
                <w14:textFill>
                  <w14:solidFill>
                    <w14:schemeClr w14:val="tx1"/>
                  </w14:solidFill>
                </w14:textFill>
              </w:rPr>
            </w:pPr>
            <w:r>
              <w:rPr>
                <w:rFonts w:cs="Arial"/>
                <w:b/>
                <w:bCs/>
                <w:i/>
                <w:color w:val="000000" w:themeColor="text1"/>
                <w:sz w:val="16"/>
                <w:szCs w:val="16"/>
                <w14:textFill>
                  <w14:solidFill>
                    <w14:schemeClr w14:val="tx1"/>
                  </w14:solidFill>
                </w14:textFill>
              </w:rPr>
              <w:t>ACEITÁVEL</w:t>
            </w:r>
          </w:p>
        </w:tc>
        <w:tc>
          <w:tcPr>
            <w:tcW w:w="1311" w:type="dxa"/>
          </w:tcPr>
          <w:p>
            <w:pPr>
              <w:widowControl w:val="0"/>
              <w:suppressAutoHyphens/>
              <w:spacing w:line="360" w:lineRule="auto"/>
              <w:jc w:val="center"/>
              <w:rPr>
                <w:rFonts w:cs="Arial"/>
                <w:b/>
                <w:bCs/>
                <w:i/>
                <w:color w:val="000000" w:themeColor="text1"/>
                <w:sz w:val="16"/>
                <w:szCs w:val="16"/>
                <w14:textFill>
                  <w14:solidFill>
                    <w14:schemeClr w14:val="tx1"/>
                  </w14:solidFill>
                </w14:textFill>
              </w:rPr>
            </w:pPr>
            <w:r>
              <w:rPr>
                <w:rFonts w:cs="Arial"/>
                <w:b/>
                <w:bCs/>
                <w:i/>
                <w:color w:val="000000" w:themeColor="text1"/>
                <w:sz w:val="16"/>
                <w:szCs w:val="16"/>
                <w14:textFill>
                  <w14:solidFill>
                    <w14:schemeClr w14:val="tx1"/>
                  </w14:solidFill>
                </w14:textFill>
              </w:rPr>
              <w:t>VALOR TOTAL</w:t>
            </w:r>
          </w:p>
          <w:p>
            <w:pPr>
              <w:widowControl w:val="0"/>
              <w:suppressAutoHyphens/>
              <w:spacing w:line="360" w:lineRule="auto"/>
              <w:jc w:val="center"/>
              <w:rPr>
                <w:rFonts w:cs="Arial"/>
                <w:b/>
                <w:bCs/>
                <w:i/>
                <w:color w:val="000000" w:themeColor="text1"/>
                <w:sz w:val="16"/>
                <w:szCs w:val="16"/>
                <w14:textFill>
                  <w14:solidFill>
                    <w14:schemeClr w14:val="tx1"/>
                  </w14:solidFill>
                </w14:textFill>
              </w:rPr>
            </w:pPr>
            <w:r>
              <w:rPr>
                <w:rFonts w:cs="Arial"/>
                <w:b/>
                <w:bCs/>
                <w:i/>
                <w:color w:val="000000" w:themeColor="text1"/>
                <w:sz w:val="16"/>
                <w:szCs w:val="16"/>
                <w14:textFill>
                  <w14:solidFill>
                    <w14:schemeClr w14:val="tx1"/>
                  </w14:solidFill>
                </w14:textFill>
              </w:rPr>
              <w:t>MÁX.</w:t>
            </w:r>
          </w:p>
          <w:p>
            <w:pPr>
              <w:widowControl w:val="0"/>
              <w:suppressAutoHyphens/>
              <w:spacing w:line="360" w:lineRule="auto"/>
              <w:jc w:val="center"/>
              <w:rPr>
                <w:rFonts w:cs="Arial"/>
                <w:b/>
                <w:bCs/>
                <w:i/>
                <w:color w:val="000000" w:themeColor="text1"/>
                <w:sz w:val="16"/>
                <w:szCs w:val="16"/>
                <w14:textFill>
                  <w14:solidFill>
                    <w14:schemeClr w14:val="tx1"/>
                  </w14:solidFill>
                </w14:textFill>
              </w:rPr>
            </w:pPr>
            <w:r>
              <w:rPr>
                <w:rFonts w:cs="Arial"/>
                <w:b/>
                <w:bCs/>
                <w:i/>
                <w:color w:val="000000" w:themeColor="text1"/>
                <w:sz w:val="16"/>
                <w:szCs w:val="16"/>
                <w14:textFill>
                  <w14:solidFill>
                    <w14:schemeClr w14:val="tx1"/>
                  </w14:solidFill>
                </w14:textFill>
              </w:rPr>
              <w:t>ACEITÁVEL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699" w:type="dxa"/>
          </w:tcPr>
          <w:p>
            <w:pPr>
              <w:widowControl w:val="0"/>
              <w:suppressAutoHyphens/>
              <w:spacing w:line="360" w:lineRule="auto"/>
              <w:jc w:val="center"/>
              <w:rPr>
                <w:rFonts w:cs="Arial"/>
                <w:b/>
                <w:color w:val="000000" w:themeColor="text1"/>
                <w:sz w:val="16"/>
                <w:szCs w:val="16"/>
                <w14:textFill>
                  <w14:solidFill>
                    <w14:schemeClr w14:val="tx1"/>
                  </w14:solidFill>
                </w14:textFill>
              </w:rPr>
            </w:pPr>
            <w:r>
              <w:rPr>
                <w:rFonts w:cs="Arial"/>
                <w:b/>
                <w:color w:val="000000" w:themeColor="text1"/>
                <w:sz w:val="16"/>
                <w:szCs w:val="16"/>
                <w14:textFill>
                  <w14:solidFill>
                    <w14:schemeClr w14:val="tx1"/>
                  </w14:solidFill>
                </w14:textFill>
              </w:rPr>
              <w:t>1</w:t>
            </w:r>
          </w:p>
        </w:tc>
        <w:tc>
          <w:tcPr>
            <w:tcW w:w="3231" w:type="dxa"/>
          </w:tcPr>
          <w:p>
            <w:pPr>
              <w:widowControl w:val="0"/>
              <w:suppressAutoHyphens/>
              <w:spacing w:line="360" w:lineRule="auto"/>
              <w:jc w:val="both"/>
              <w:rPr>
                <w:rFonts w:cs="Arial"/>
                <w:color w:val="000000" w:themeColor="text1"/>
                <w:sz w:val="16"/>
                <w:szCs w:val="16"/>
                <w14:textFill>
                  <w14:solidFill>
                    <w14:schemeClr w14:val="tx1"/>
                  </w14:solidFill>
                </w14:textFill>
              </w:rPr>
            </w:pPr>
            <w:r>
              <w:rPr>
                <w:rFonts w:cs="Arial"/>
                <w:color w:val="000000" w:themeColor="text1"/>
                <w:sz w:val="16"/>
                <w:szCs w:val="16"/>
                <w14:textFill>
                  <w14:solidFill>
                    <w14:schemeClr w14:val="tx1"/>
                  </w14:solidFill>
                </w14:textFill>
              </w:rPr>
              <w:t>Elevador de tração elétrica em aço inox capacidade entre 650kg e 675kg (de 8 a 9 passageiros);</w:t>
            </w:r>
          </w:p>
        </w:tc>
        <w:tc>
          <w:tcPr>
            <w:tcW w:w="1112" w:type="dxa"/>
            <w:vAlign w:val="center"/>
          </w:tcPr>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color w:val="000000" w:themeColor="text1"/>
                <w:sz w:val="16"/>
                <w:szCs w:val="16"/>
                <w14:textFill>
                  <w14:solidFill>
                    <w14:schemeClr w14:val="tx1"/>
                  </w14:solidFill>
                </w14:textFill>
              </w:rPr>
              <w:t>47287</w:t>
            </w:r>
          </w:p>
        </w:tc>
        <w:tc>
          <w:tcPr>
            <w:tcW w:w="1111" w:type="dxa"/>
            <w:vAlign w:val="center"/>
          </w:tcPr>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color w:val="000000" w:themeColor="text1"/>
                <w:sz w:val="16"/>
                <w:szCs w:val="16"/>
                <w14:textFill>
                  <w14:solidFill>
                    <w14:schemeClr w14:val="tx1"/>
                  </w14:solidFill>
                </w14:textFill>
              </w:rPr>
              <w:t>Unid.</w:t>
            </w:r>
          </w:p>
        </w:tc>
        <w:tc>
          <w:tcPr>
            <w:tcW w:w="978" w:type="dxa"/>
            <w:vAlign w:val="center"/>
          </w:tcPr>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color w:val="000000" w:themeColor="text1"/>
                <w:sz w:val="16"/>
                <w:szCs w:val="16"/>
                <w14:textFill>
                  <w14:solidFill>
                    <w14:schemeClr w14:val="tx1"/>
                  </w14:solidFill>
                </w14:textFill>
              </w:rPr>
              <w:t>02</w:t>
            </w:r>
          </w:p>
        </w:tc>
        <w:tc>
          <w:tcPr>
            <w:tcW w:w="1392" w:type="dxa"/>
            <w:vAlign w:val="center"/>
          </w:tcPr>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color w:val="000000" w:themeColor="text1"/>
                <w:sz w:val="16"/>
                <w:szCs w:val="16"/>
                <w14:textFill>
                  <w14:solidFill>
                    <w14:schemeClr w14:val="tx1"/>
                  </w14:solidFill>
                </w14:textFill>
              </w:rPr>
              <w:t>R$ 107.089,33</w:t>
            </w:r>
          </w:p>
        </w:tc>
        <w:tc>
          <w:tcPr>
            <w:tcW w:w="1311" w:type="dxa"/>
          </w:tcPr>
          <w:p>
            <w:pPr>
              <w:widowControl w:val="0"/>
              <w:suppressAutoHyphens/>
              <w:spacing w:line="360" w:lineRule="auto"/>
              <w:jc w:val="center"/>
              <w:rPr>
                <w:rFonts w:cs="Arial"/>
                <w:color w:val="000000" w:themeColor="text1"/>
                <w:sz w:val="16"/>
                <w:szCs w:val="16"/>
                <w14:textFill>
                  <w14:solidFill>
                    <w14:schemeClr w14:val="tx1"/>
                  </w14:solidFill>
                </w14:textFill>
              </w:rPr>
            </w:pPr>
          </w:p>
          <w:p>
            <w:pPr>
              <w:widowControl w:val="0"/>
              <w:suppressAutoHyphens/>
              <w:spacing w:line="360" w:lineRule="auto"/>
              <w:jc w:val="center"/>
              <w:rPr>
                <w:rFonts w:cs="Arial"/>
                <w:color w:val="000000" w:themeColor="text1"/>
                <w:sz w:val="16"/>
                <w:szCs w:val="16"/>
                <w14:textFill>
                  <w14:solidFill>
                    <w14:schemeClr w14:val="tx1"/>
                  </w14:solidFill>
                </w14:textFill>
              </w:rPr>
            </w:pPr>
            <w:r>
              <w:rPr>
                <w:rFonts w:cs="Arial"/>
                <w:color w:val="000000" w:themeColor="text1"/>
                <w:sz w:val="16"/>
                <w:szCs w:val="16"/>
                <w14:textFill>
                  <w14:solidFill>
                    <w14:schemeClr w14:val="tx1"/>
                  </w14:solidFill>
                </w14:textFill>
              </w:rPr>
              <w:t>R$ 214.178,66</w:t>
            </w:r>
          </w:p>
        </w:tc>
      </w:tr>
    </w:tbl>
    <w:p>
      <w:pPr>
        <w:pStyle w:val="17"/>
        <w:spacing w:line="360" w:lineRule="auto"/>
        <w:ind w:left="0"/>
        <w:contextualSpacing w:val="0"/>
        <w:jc w:val="both"/>
        <w:rPr>
          <w:rFonts w:cs="Arial"/>
          <w:b/>
          <w:color w:val="000000" w:themeColor="text1"/>
          <w:szCs w:val="20"/>
          <w14:textFill>
            <w14:solidFill>
              <w14:schemeClr w14:val="tx1"/>
            </w14:solidFill>
          </w14:textFill>
        </w:rPr>
      </w:pPr>
    </w:p>
    <w:p>
      <w:pPr>
        <w:pStyle w:val="17"/>
        <w:numPr>
          <w:ilvl w:val="1"/>
          <w:numId w:val="2"/>
        </w:numPr>
        <w:spacing w:line="360" w:lineRule="auto"/>
        <w:ind w:left="0" w:firstLine="0"/>
        <w:contextualSpacing w:val="0"/>
        <w:jc w:val="both"/>
        <w:rPr>
          <w:rFonts w:cs="Arial"/>
          <w:b/>
          <w:color w:val="000000" w:themeColor="text1"/>
          <w:szCs w:val="20"/>
          <w14:textFill>
            <w14:solidFill>
              <w14:schemeClr w14:val="tx1"/>
            </w14:solidFill>
          </w14:textFill>
        </w:rPr>
      </w:pPr>
      <w:r>
        <w:rPr>
          <w:rFonts w:cs="Arial"/>
          <w:b/>
          <w:color w:val="000000" w:themeColor="text1"/>
          <w:szCs w:val="20"/>
          <w14:textFill>
            <w14:solidFill>
              <w14:schemeClr w14:val="tx1"/>
            </w14:solidFill>
          </w14:textFill>
        </w:rPr>
        <w:t>Especificações técnicas dos elevadores:</w:t>
      </w:r>
    </w:p>
    <w:p>
      <w:pPr>
        <w:pStyle w:val="17"/>
        <w:numPr>
          <w:ilvl w:val="2"/>
          <w:numId w:val="2"/>
        </w:numPr>
        <w:spacing w:line="360" w:lineRule="auto"/>
        <w:ind w:left="1276"/>
        <w:contextualSpacing w:val="0"/>
        <w:jc w:val="both"/>
        <w:rPr>
          <w:rFonts w:cs="Arial"/>
          <w:b/>
          <w:color w:val="000000" w:themeColor="text1"/>
          <w:szCs w:val="20"/>
          <w14:textFill>
            <w14:solidFill>
              <w14:schemeClr w14:val="tx1"/>
            </w14:solidFill>
          </w14:textFill>
        </w:rPr>
      </w:pPr>
      <w:r>
        <w:rPr>
          <w:rFonts w:cs="Arial"/>
          <w:b/>
          <w:color w:val="000000" w:themeColor="text1"/>
          <w:szCs w:val="20"/>
          <w:shd w:val="clear" w:color="auto" w:fill="FFFFFF"/>
          <w14:textFill>
            <w14:solidFill>
              <w14:schemeClr w14:val="tx1"/>
            </w14:solidFill>
          </w14:textFill>
        </w:rPr>
        <w:t>Característica de transporte:</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Capacidade: 08 a 09 passageiros (650kg a 675kg);</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Velocidade de operação: 1,6m/s, com atendimento de chamadas nos pavimentos, tanto na descida como na subida;</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Elevador sem casa de máquinas;</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Sistema de ventilação acionado automaticamente pela presença de passageiros;</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Abertura de Portas: lateral à esquerda;</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Número de Paradas: 04</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Percurso: 10,35m;</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Entradas de Cabina: 1</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Denominação dos pavimentos e botoeira de cabina: 0, 1, 2 e 3;</w:t>
      </w:r>
    </w:p>
    <w:p>
      <w:pPr>
        <w:pStyle w:val="17"/>
        <w:numPr>
          <w:ilvl w:val="2"/>
          <w:numId w:val="2"/>
        </w:numPr>
        <w:tabs>
          <w:tab w:val="left" w:pos="993"/>
        </w:tabs>
        <w:autoSpaceDE w:val="0"/>
        <w:snapToGrid w:val="0"/>
        <w:spacing w:line="360" w:lineRule="auto"/>
        <w:ind w:left="1276"/>
        <w:jc w:val="both"/>
        <w:rPr>
          <w:rFonts w:cs="Arial"/>
          <w:b/>
          <w:color w:val="000000" w:themeColor="text1"/>
          <w:szCs w:val="20"/>
          <w:shd w:val="clear" w:color="auto" w:fill="FFFFFF"/>
          <w14:textFill>
            <w14:solidFill>
              <w14:schemeClr w14:val="tx1"/>
            </w14:solidFill>
          </w14:textFill>
        </w:rPr>
      </w:pPr>
      <w:r>
        <w:rPr>
          <w:rFonts w:cs="Arial"/>
          <w:b/>
          <w:color w:val="000000" w:themeColor="text1"/>
          <w:szCs w:val="20"/>
          <w:shd w:val="clear" w:color="auto" w:fill="FFFFFF"/>
          <w14:textFill>
            <w14:solidFill>
              <w14:schemeClr w14:val="tx1"/>
            </w14:solidFill>
          </w14:textFill>
        </w:rPr>
        <w:t>Medidas de Projeto:</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Largura da Caixa: 1700mm;</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Profundidade da Caixa: 1900mm;</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Profundidade do Poço: 1600mm;</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Altura da última parada: 4350mm;</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Cabina: Largura: 1100 a 1200mm; Profundidade: 1400mm; Altura: 2200mm;</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 xml:space="preserve">Painéis: </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 xml:space="preserve">painel frontal e porta da cabina em chapa de aço inoxidável escovado; </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 xml:space="preserve">painéis laterais em chapas de aço inoxidável escovado; </w:t>
      </w:r>
    </w:p>
    <w:p>
      <w:pPr>
        <w:pStyle w:val="17"/>
        <w:numPr>
          <w:ilvl w:val="0"/>
          <w:numId w:val="3"/>
        </w:numPr>
        <w:spacing w:line="360" w:lineRule="auto"/>
        <w:ind w:left="1276"/>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painel de fundo em chapas de aço inoxidável escovado;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Teto: em aço inoxidável escovado;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Piso: o revestimento do piso deverá ser em material vinílico antiderrapante e que permita fácil manobra de cadeira de rodas em cor contrastante com aquela encontrada nos pavimentos, conforme a norma NM-313;</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Corrimão: posicionado nos painéis laterais e fundo, confeccionado em aço inoxidável espelhado;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Porta da Cabina: De correr automática, em aço escovado, com abertura lateral, lado esquerdo acionamento simultâneo com a porta do pavimento;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Botoeira da Cabina: Instalada sobre o painel lateral de piso a teto com display de sinalização e botões de microcurso com identificação em Braille, os botões deverão apresentar iluminação em vermelho para confirmação do registro de chamada.</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 xml:space="preserve">Display de Sinalização da Cabina: localizado em sua parte superior, com indicador de posição e direção com iluminação em LED registra o movimento e o sentido da viagem. </w:t>
      </w:r>
    </w:p>
    <w:p>
      <w:pPr>
        <w:pStyle w:val="17"/>
        <w:numPr>
          <w:ilvl w:val="2"/>
          <w:numId w:val="2"/>
        </w:numPr>
        <w:autoSpaceDE w:val="0"/>
        <w:snapToGrid w:val="0"/>
        <w:spacing w:line="360" w:lineRule="auto"/>
        <w:ind w:left="1276" w:hanging="646"/>
        <w:jc w:val="both"/>
        <w:rPr>
          <w:rFonts w:cs="Arial"/>
          <w:b/>
          <w:color w:val="000000" w:themeColor="text1"/>
          <w:szCs w:val="20"/>
          <w:shd w:val="clear" w:color="auto" w:fill="FFFFFF"/>
          <w14:textFill>
            <w14:solidFill>
              <w14:schemeClr w14:val="tx1"/>
            </w14:solidFill>
          </w14:textFill>
        </w:rPr>
      </w:pPr>
      <w:r>
        <w:rPr>
          <w:rFonts w:cs="Arial"/>
          <w:b/>
          <w:color w:val="000000" w:themeColor="text1"/>
          <w:szCs w:val="20"/>
          <w:shd w:val="clear" w:color="auto" w:fill="FFFFFF"/>
          <w14:textFill>
            <w14:solidFill>
              <w14:schemeClr w14:val="tx1"/>
            </w14:solidFill>
          </w14:textFill>
        </w:rPr>
        <w:t>Acessórios:</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Espelho: inestilhaçável, instalado na parte superior do painel de fundo, junto ao corrimão;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Luz de emergência: iluminação parcial da cabina, em caso de falta de energia permitindo a conexão com a portaria;</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Intercomunicador: integrado ao painel de comando da cabina proporcionado a conexão com a administração do edifício;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Alarme: acionado pela tecla de alarme presente na botoeira da cabina alimentada por bateria de emergência durante a falta de energia;</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Renivelamento automático: posicionamento da cabina em nível com os pavimentos no momento da parada;</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Detecção da capacidade máxima: impedimento do funcionamento do elevador quando a cabina atingir 110% da capacidade máxima;</w:t>
      </w:r>
    </w:p>
    <w:p>
      <w:pPr>
        <w:pStyle w:val="17"/>
        <w:numPr>
          <w:ilvl w:val="2"/>
          <w:numId w:val="2"/>
        </w:numPr>
        <w:tabs>
          <w:tab w:val="left" w:pos="709"/>
        </w:tabs>
        <w:autoSpaceDE w:val="0"/>
        <w:snapToGrid w:val="0"/>
        <w:spacing w:line="360" w:lineRule="auto"/>
        <w:ind w:left="1276"/>
        <w:jc w:val="both"/>
        <w:rPr>
          <w:rFonts w:cs="Arial"/>
          <w:b/>
          <w:color w:val="000000" w:themeColor="text1"/>
          <w:szCs w:val="20"/>
          <w:shd w:val="clear" w:color="auto" w:fill="FFFFFF"/>
          <w14:textFill>
            <w14:solidFill>
              <w14:schemeClr w14:val="tx1"/>
            </w14:solidFill>
          </w14:textFill>
        </w:rPr>
      </w:pPr>
      <w:r>
        <w:rPr>
          <w:rFonts w:cs="Arial"/>
          <w:b/>
          <w:color w:val="000000" w:themeColor="text1"/>
          <w:szCs w:val="20"/>
          <w:shd w:val="clear" w:color="auto" w:fill="FFFFFF"/>
          <w14:textFill>
            <w14:solidFill>
              <w14:schemeClr w14:val="tx1"/>
            </w14:solidFill>
          </w14:textFill>
        </w:rPr>
        <w:t xml:space="preserve">Comando: </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Acionamento: máquina de tração, com acionamento por motor de corrente alternada e com inversor de tensão e frequência variáveis – VVVF malha fechada - com circuitos especificados em malha fechada para controle das variáveis de posição e velocidade.</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Painel de comando: instalado no batente da porta de pavimento da última parada do elevador;</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Motor: trifásico 380V, 60Hz;</w:t>
      </w:r>
    </w:p>
    <w:p>
      <w:pPr>
        <w:pStyle w:val="17"/>
        <w:numPr>
          <w:ilvl w:val="2"/>
          <w:numId w:val="2"/>
        </w:numPr>
        <w:tabs>
          <w:tab w:val="left" w:pos="1440"/>
        </w:tabs>
        <w:autoSpaceDE w:val="0"/>
        <w:snapToGrid w:val="0"/>
        <w:spacing w:line="360" w:lineRule="auto"/>
        <w:ind w:left="1276" w:hanging="567"/>
        <w:jc w:val="both"/>
        <w:rPr>
          <w:rFonts w:cs="Arial"/>
          <w:b/>
          <w:color w:val="000000" w:themeColor="text1"/>
          <w:szCs w:val="20"/>
          <w:shd w:val="clear" w:color="auto" w:fill="FFFFFF"/>
          <w14:textFill>
            <w14:solidFill>
              <w14:schemeClr w14:val="tx1"/>
            </w14:solidFill>
          </w14:textFill>
        </w:rPr>
      </w:pPr>
      <w:r>
        <w:rPr>
          <w:rFonts w:cs="Arial"/>
          <w:b/>
          <w:color w:val="000000" w:themeColor="text1"/>
          <w:szCs w:val="20"/>
          <w:shd w:val="clear" w:color="auto" w:fill="FFFFFF"/>
          <w14:textFill>
            <w14:solidFill>
              <w14:schemeClr w14:val="tx1"/>
            </w14:solidFill>
          </w14:textFill>
        </w:rPr>
        <w:t>Pavimento: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Sinalização dos Pavimentos:</w:t>
      </w:r>
    </w:p>
    <w:p>
      <w:pPr>
        <w:pStyle w:val="17"/>
        <w:numPr>
          <w:ilvl w:val="1"/>
          <w:numId w:val="4"/>
        </w:numPr>
        <w:autoSpaceDE w:val="0"/>
        <w:snapToGrid w:val="0"/>
        <w:spacing w:line="360" w:lineRule="auto"/>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Indicador de posição horizontal, com sinalização de direção e posição, dotado de sinal sonoro em todos os pavimentos, instalado no batente sobre a porta do pavimento; deverá também sinalizar a ocorrência de incêndio, elevador fora de serviço, sobrecarga e serviço de reserva conforme indicado, indicados aos passageiros através de pictogramas iluminados.</w:t>
      </w:r>
    </w:p>
    <w:p>
      <w:pPr>
        <w:pStyle w:val="17"/>
        <w:numPr>
          <w:ilvl w:val="1"/>
          <w:numId w:val="4"/>
        </w:numPr>
        <w:autoSpaceDE w:val="0"/>
        <w:snapToGrid w:val="0"/>
        <w:spacing w:line="360" w:lineRule="auto"/>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Os botões de chamada, serão instalados na botoeira da porta de pavimento;</w:t>
      </w:r>
    </w:p>
    <w:p>
      <w:pPr>
        <w:pStyle w:val="17"/>
        <w:numPr>
          <w:ilvl w:val="0"/>
          <w:numId w:val="4"/>
        </w:numPr>
        <w:autoSpaceDE w:val="0"/>
        <w:snapToGrid w:val="0"/>
        <w:spacing w:line="360" w:lineRule="auto"/>
        <w:ind w:left="127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Portas de pavimento: as portas deverão ser certificadas e resistentes ao fogo por 30min, de correr, telescópicas automáticas, duas folhas, abertura lateral, com dimensões de 2000mm de altura por 900mm de abertura e acabamento em aço inoxidável escovado, os batentes deverão ser fornecidos em conjunto e com o mesmo acabamento das portas de pavimento.</w:t>
      </w:r>
    </w:p>
    <w:p>
      <w:pPr>
        <w:pStyle w:val="17"/>
        <w:numPr>
          <w:ilvl w:val="1"/>
          <w:numId w:val="2"/>
        </w:numPr>
        <w:spacing w:line="360" w:lineRule="auto"/>
        <w:ind w:left="426" w:firstLine="0"/>
        <w:contextualSpacing w:val="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Antes da instalação dos equipamentos, os projetos mecânico, elétrico e de montagem do sistema e de instalação deverão ser elaborados e entregues pela contratada.</w:t>
      </w:r>
    </w:p>
    <w:p>
      <w:pPr>
        <w:pStyle w:val="17"/>
        <w:numPr>
          <w:ilvl w:val="1"/>
          <w:numId w:val="2"/>
        </w:numPr>
        <w:spacing w:line="360" w:lineRule="auto"/>
        <w:ind w:left="426" w:firstLine="0"/>
        <w:contextualSpacing w:val="0"/>
        <w:jc w:val="both"/>
        <w:rPr>
          <w:rFonts w:cs="Arial"/>
          <w:color w:val="000000" w:themeColor="text1"/>
          <w:szCs w:val="20"/>
          <w14:textFill>
            <w14:solidFill>
              <w14:schemeClr w14:val="tx1"/>
            </w14:solidFill>
          </w14:textFill>
        </w:rPr>
      </w:pPr>
      <w:r>
        <w:rPr>
          <w:rFonts w:cs="Arial"/>
          <w:color w:val="000000" w:themeColor="text1"/>
          <w:szCs w:val="20"/>
          <w:shd w:val="clear" w:color="auto" w:fill="FFFFFF"/>
          <w14:textFill>
            <w14:solidFill>
              <w14:schemeClr w14:val="tx1"/>
            </w14:solidFill>
          </w14:textFill>
        </w:rPr>
        <w:t>A contratada deverá entregar e instalar os equipamentos conforme as especificações técnicas constantes neste termo de referência.</w:t>
      </w:r>
    </w:p>
    <w:p>
      <w:pPr>
        <w:pStyle w:val="17"/>
        <w:numPr>
          <w:ilvl w:val="1"/>
          <w:numId w:val="2"/>
        </w:numPr>
        <w:spacing w:line="360" w:lineRule="auto"/>
        <w:ind w:left="426" w:firstLine="0"/>
        <w:contextualSpacing w:val="0"/>
        <w:jc w:val="both"/>
        <w:rPr>
          <w:rFonts w:cs="Arial"/>
          <w:color w:val="000000" w:themeColor="text1"/>
          <w:szCs w:val="20"/>
          <w14:textFill>
            <w14:solidFill>
              <w14:schemeClr w14:val="tx1"/>
            </w14:solidFill>
          </w14:textFill>
        </w:rPr>
      </w:pPr>
      <w:r>
        <w:rPr>
          <w:rFonts w:cs="Arial"/>
          <w:color w:val="000000" w:themeColor="text1"/>
          <w:szCs w:val="20"/>
          <w:shd w:val="clear" w:color="auto" w:fill="FFFFFF"/>
          <w14:textFill>
            <w14:solidFill>
              <w14:schemeClr w14:val="tx1"/>
            </w14:solidFill>
          </w14:textFill>
        </w:rPr>
        <w:t>A contratada deverá apresentar na ocasião da entrega definitiva dos elevadores, em duas vias, manuais de instrução para montagem, operação e manutenção dos equipamentos, constituídos com a as seguintes informações:</w:t>
      </w:r>
    </w:p>
    <w:p>
      <w:pPr>
        <w:pStyle w:val="17"/>
        <w:numPr>
          <w:ilvl w:val="2"/>
          <w:numId w:val="2"/>
        </w:numPr>
        <w:spacing w:line="360" w:lineRule="auto"/>
        <w:ind w:left="993" w:hanging="284"/>
        <w:contextualSpacing w:val="0"/>
        <w:jc w:val="both"/>
        <w:rPr>
          <w:rFonts w:cs="Arial"/>
          <w:color w:val="000000" w:themeColor="text1"/>
          <w:szCs w:val="20"/>
          <w14:textFill>
            <w14:solidFill>
              <w14:schemeClr w14:val="tx1"/>
            </w14:solidFill>
          </w14:textFill>
        </w:rPr>
      </w:pPr>
      <w:r>
        <w:rPr>
          <w:rFonts w:cs="Arial"/>
          <w:color w:val="000000" w:themeColor="text1"/>
          <w:szCs w:val="20"/>
          <w:shd w:val="clear" w:color="auto" w:fill="FFFFFF"/>
          <w14:textFill>
            <w14:solidFill>
              <w14:schemeClr w14:val="tx1"/>
            </w14:solidFill>
          </w14:textFill>
        </w:rPr>
        <w:t>Dados e características do equipamento;</w:t>
      </w:r>
    </w:p>
    <w:p>
      <w:pPr>
        <w:pStyle w:val="17"/>
        <w:numPr>
          <w:ilvl w:val="2"/>
          <w:numId w:val="2"/>
        </w:numPr>
        <w:spacing w:line="360" w:lineRule="auto"/>
        <w:ind w:left="993" w:hanging="284"/>
        <w:contextualSpacing w:val="0"/>
        <w:jc w:val="both"/>
        <w:rPr>
          <w:rFonts w:cs="Arial"/>
          <w:color w:val="000000" w:themeColor="text1"/>
          <w:szCs w:val="20"/>
          <w14:textFill>
            <w14:solidFill>
              <w14:schemeClr w14:val="tx1"/>
            </w14:solidFill>
          </w14:textFill>
        </w:rPr>
      </w:pPr>
      <w:r>
        <w:rPr>
          <w:rFonts w:cs="Arial"/>
          <w:color w:val="000000" w:themeColor="text1"/>
          <w:szCs w:val="20"/>
          <w:shd w:val="clear" w:color="auto" w:fill="FFFFFF"/>
          <w14:textFill>
            <w14:solidFill>
              <w14:schemeClr w14:val="tx1"/>
            </w14:solidFill>
          </w14:textFill>
        </w:rPr>
        <w:t>Descrição funcional;</w:t>
      </w:r>
    </w:p>
    <w:p>
      <w:pPr>
        <w:pStyle w:val="17"/>
        <w:numPr>
          <w:ilvl w:val="2"/>
          <w:numId w:val="2"/>
        </w:numPr>
        <w:spacing w:line="360" w:lineRule="auto"/>
        <w:ind w:left="993" w:hanging="284"/>
        <w:contextualSpacing w:val="0"/>
        <w:jc w:val="both"/>
        <w:rPr>
          <w:rFonts w:cs="Arial"/>
          <w:color w:val="000000" w:themeColor="text1"/>
          <w:szCs w:val="20"/>
          <w14:textFill>
            <w14:solidFill>
              <w14:schemeClr w14:val="tx1"/>
            </w14:solidFill>
          </w14:textFill>
        </w:rPr>
      </w:pPr>
      <w:r>
        <w:rPr>
          <w:rFonts w:cs="Arial"/>
          <w:color w:val="000000" w:themeColor="text1"/>
          <w:szCs w:val="20"/>
          <w:shd w:val="clear" w:color="auto" w:fill="FFFFFF"/>
          <w14:textFill>
            <w14:solidFill>
              <w14:schemeClr w14:val="tx1"/>
            </w14:solidFill>
          </w14:textFill>
        </w:rPr>
        <w:t>Instruções para recebimento, manuseio, armazenagem e montagem;</w:t>
      </w:r>
    </w:p>
    <w:p>
      <w:pPr>
        <w:pStyle w:val="17"/>
        <w:numPr>
          <w:ilvl w:val="2"/>
          <w:numId w:val="2"/>
        </w:numPr>
        <w:spacing w:line="360" w:lineRule="auto"/>
        <w:ind w:left="993" w:hanging="284"/>
        <w:contextualSpacing w:val="0"/>
        <w:jc w:val="both"/>
        <w:rPr>
          <w:rFonts w:cs="Arial"/>
          <w:color w:val="000000" w:themeColor="text1"/>
          <w:szCs w:val="20"/>
          <w14:textFill>
            <w14:solidFill>
              <w14:schemeClr w14:val="tx1"/>
            </w14:solidFill>
          </w14:textFill>
        </w:rPr>
      </w:pPr>
      <w:r>
        <w:rPr>
          <w:rFonts w:cs="Arial"/>
          <w:color w:val="000000" w:themeColor="text1"/>
          <w:szCs w:val="20"/>
          <w:shd w:val="clear" w:color="auto" w:fill="FFFFFF"/>
          <w14:textFill>
            <w14:solidFill>
              <w14:schemeClr w14:val="tx1"/>
            </w14:solidFill>
          </w14:textFill>
        </w:rPr>
        <w:t>Instruções para operação e manutenção, contendo o plano de manutenção preventiva e o manual de manutenção preventiva a ser desenvolvido, incluindo as atividades específicas e a periodicidade de realização; empregados para garantir o funcionamento seguro e contínuo dos equipamentos</w:t>
      </w:r>
    </w:p>
    <w:p>
      <w:pPr>
        <w:pStyle w:val="17"/>
        <w:numPr>
          <w:ilvl w:val="2"/>
          <w:numId w:val="2"/>
        </w:numPr>
        <w:spacing w:line="360" w:lineRule="auto"/>
        <w:ind w:left="993" w:hanging="284"/>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Certificados de ensaios de rotina;</w:t>
      </w:r>
    </w:p>
    <w:p>
      <w:pPr>
        <w:pStyle w:val="17"/>
        <w:numPr>
          <w:ilvl w:val="2"/>
          <w:numId w:val="2"/>
        </w:numPr>
        <w:spacing w:line="360" w:lineRule="auto"/>
        <w:ind w:left="993" w:hanging="284"/>
        <w:contextualSpacing w:val="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Declaração, sob as penas da lei, quanto à observância das Norma Técnicas NBR NM 207, (no que se aplicar), </w:t>
      </w:r>
      <w:r>
        <w:rPr>
          <w:rFonts w:cs="Arial"/>
          <w:color w:val="000000" w:themeColor="text1"/>
          <w:szCs w:val="20"/>
          <w:shd w:val="clear" w:color="auto" w:fill="FFFFFF"/>
          <w14:textFill>
            <w14:solidFill>
              <w14:schemeClr w14:val="tx1"/>
            </w14:solidFill>
          </w14:textFill>
        </w:rPr>
        <w:t>NBR</w:t>
      </w:r>
      <w:r>
        <w:rPr>
          <w:rFonts w:cs="Arial"/>
          <w:color w:val="000000" w:themeColor="text1"/>
          <w:szCs w:val="20"/>
          <w14:textFill>
            <w14:solidFill>
              <w14:schemeClr w14:val="tx1"/>
            </w14:solidFill>
          </w14:textFill>
        </w:rPr>
        <w:t xml:space="preserve"> 5665, NBR 5666, NBR NM 313 e NBR 16042, todas da ABNT, aplicadas à fabricação e à instalação de elevadores de passageiros, inclusive no que tange às instalações elétricas da estrutura do equipamento;</w:t>
      </w:r>
    </w:p>
    <w:p>
      <w:pPr>
        <w:pStyle w:val="17"/>
        <w:numPr>
          <w:ilvl w:val="2"/>
          <w:numId w:val="2"/>
        </w:numPr>
        <w:spacing w:line="360" w:lineRule="auto"/>
        <w:ind w:left="993" w:hanging="284"/>
        <w:contextualSpacing w:val="0"/>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Projetos mecânico, elétrico, montagem e instalação do sistema;</w:t>
      </w:r>
    </w:p>
    <w:p>
      <w:pPr>
        <w:pStyle w:val="17"/>
        <w:numPr>
          <w:ilvl w:val="1"/>
          <w:numId w:val="2"/>
        </w:numPr>
        <w:tabs>
          <w:tab w:val="left" w:pos="1440"/>
        </w:tabs>
        <w:autoSpaceDE w:val="0"/>
        <w:snapToGrid w:val="0"/>
        <w:spacing w:line="360" w:lineRule="auto"/>
        <w:ind w:left="42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A entrega definitiva dos elevadores será precedida dos ensaios e das inspeções previstos na NBR 16042:2012 – Elevadores elétricos de passageiros – Requisitos de segurança para construção e instalação de elevadores sem casa de máquinas; devendo todos os equipamentos, após definitivamente montados na obra, serem submetidos a ensaios de funcionamento, em vazio, com carga nominal e com sobrecarga.</w:t>
      </w:r>
    </w:p>
    <w:p>
      <w:pPr>
        <w:pStyle w:val="17"/>
        <w:numPr>
          <w:ilvl w:val="1"/>
          <w:numId w:val="2"/>
        </w:numPr>
        <w:tabs>
          <w:tab w:val="left" w:pos="1440"/>
        </w:tabs>
        <w:autoSpaceDE w:val="0"/>
        <w:snapToGrid w:val="0"/>
        <w:spacing w:line="360" w:lineRule="auto"/>
        <w:ind w:left="42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Deverá ser verificado, ao longo dos ensaios e inspeções, o perfeito funcionamento de todos os dispositivos de comando, proteção, sinalização e automatismo.</w:t>
      </w:r>
      <w:r>
        <w:rPr>
          <w:rFonts w:cs="Arial"/>
          <w:color w:val="000000" w:themeColor="text1"/>
          <w:szCs w:val="20"/>
          <w:shd w:val="clear" w:color="auto" w:fill="FFFFFF"/>
          <w14:textFill>
            <w14:solidFill>
              <w14:schemeClr w14:val="tx1"/>
            </w14:solidFill>
          </w14:textFill>
        </w:rPr>
        <w:tab/>
      </w:r>
      <w:r>
        <w:rPr>
          <w:rFonts w:cs="Arial"/>
          <w:color w:val="000000" w:themeColor="text1"/>
          <w:szCs w:val="20"/>
          <w:shd w:val="clear" w:color="auto" w:fill="FFFFFF"/>
          <w14:textFill>
            <w14:solidFill>
              <w14:schemeClr w14:val="tx1"/>
            </w14:solidFill>
          </w14:textFill>
        </w:rPr>
        <w:tab/>
      </w:r>
    </w:p>
    <w:p>
      <w:pPr>
        <w:pStyle w:val="17"/>
        <w:numPr>
          <w:ilvl w:val="1"/>
          <w:numId w:val="2"/>
        </w:numPr>
        <w:tabs>
          <w:tab w:val="left" w:pos="1440"/>
        </w:tabs>
        <w:autoSpaceDE w:val="0"/>
        <w:snapToGrid w:val="0"/>
        <w:spacing w:line="360" w:lineRule="auto"/>
        <w:ind w:left="426"/>
        <w:jc w:val="both"/>
        <w:rPr>
          <w:rFonts w:cs="Arial"/>
          <w:color w:val="000000" w:themeColor="text1"/>
          <w:szCs w:val="20"/>
          <w:shd w:val="clear" w:color="auto" w:fill="FFFFFF"/>
          <w14:textFill>
            <w14:solidFill>
              <w14:schemeClr w14:val="tx1"/>
            </w14:solidFill>
          </w14:textFill>
        </w:rPr>
      </w:pPr>
      <w:r>
        <w:rPr>
          <w:rFonts w:cs="Arial"/>
          <w:color w:val="000000" w:themeColor="text1"/>
          <w:szCs w:val="20"/>
          <w:shd w:val="clear" w:color="auto" w:fill="FFFFFF"/>
          <w14:textFill>
            <w14:solidFill>
              <w14:schemeClr w14:val="tx1"/>
            </w14:solidFill>
          </w14:textFill>
        </w:rPr>
        <w:t xml:space="preserve">A contratada deverá ministrar treinamento básico para fins de operação em elevadores, de forma a evitar danos aos equipamentos. </w:t>
      </w:r>
    </w:p>
    <w:p>
      <w:pPr>
        <w:pStyle w:val="17"/>
        <w:numPr>
          <w:ilvl w:val="1"/>
          <w:numId w:val="2"/>
        </w:numPr>
        <w:spacing w:line="360" w:lineRule="auto"/>
        <w:ind w:left="42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 xml:space="preserve">A Contratada deverá dar garantia de todos os equipamentos e sua instalação durante </w:t>
      </w:r>
      <w:r>
        <w:rPr>
          <w:rFonts w:cs="Arial" w:eastAsiaTheme="minorHAnsi"/>
          <w:b/>
          <w:bCs/>
          <w:color w:val="000000" w:themeColor="text1"/>
          <w:szCs w:val="20"/>
          <w:lang w:eastAsia="en-US"/>
          <w14:textFill>
            <w14:solidFill>
              <w14:schemeClr w14:val="tx1"/>
            </w14:solidFill>
          </w14:textFill>
        </w:rPr>
        <w:t xml:space="preserve">01 (um) ano </w:t>
      </w:r>
      <w:r>
        <w:rPr>
          <w:rFonts w:cs="Arial" w:eastAsiaTheme="minorHAnsi"/>
          <w:color w:val="000000" w:themeColor="text1"/>
          <w:szCs w:val="20"/>
          <w:lang w:eastAsia="en-US"/>
          <w14:textFill>
            <w14:solidFill>
              <w14:schemeClr w14:val="tx1"/>
            </w14:solidFill>
          </w14:textFill>
        </w:rPr>
        <w:t xml:space="preserve">iniciando-se a partir da entrega definitiva dos elevadores à fiscalização; incluindo peças consideradas de desgaste natural; </w:t>
      </w:r>
    </w:p>
    <w:p>
      <w:pPr>
        <w:pStyle w:val="17"/>
        <w:numPr>
          <w:ilvl w:val="1"/>
          <w:numId w:val="2"/>
        </w:numPr>
        <w:spacing w:line="360" w:lineRule="auto"/>
        <w:ind w:left="426"/>
        <w:jc w:val="both"/>
        <w:rPr>
          <w:rFonts w:cs="Arial" w:eastAsiaTheme="minorHAnsi"/>
          <w:color w:val="000000" w:themeColor="text1"/>
          <w:szCs w:val="20"/>
          <w:lang w:eastAsia="en-US"/>
          <w14:textFill>
            <w14:solidFill>
              <w14:schemeClr w14:val="tx1"/>
            </w14:solidFill>
          </w14:textFill>
        </w:rPr>
      </w:pPr>
      <w:r>
        <w:rPr>
          <w:rFonts w:cs="Arial"/>
          <w:bCs/>
          <w:iCs/>
          <w:color w:val="000000" w:themeColor="text1"/>
          <w:szCs w:val="20"/>
          <w14:textFill>
            <w14:solidFill>
              <w14:schemeClr w14:val="tx1"/>
            </w14:solidFill>
          </w14:textFill>
        </w:rPr>
        <w:t>O prazo de vigência da contratação é de 180 (cento e oitenta) dias contados do(a) a partir da data da assinatura do contrato prorrogável na forma do art. 57, § 1°, da Lei n° 8.666/93.</w:t>
      </w:r>
    </w:p>
    <w:p>
      <w:pPr>
        <w:pStyle w:val="17"/>
        <w:spacing w:line="360" w:lineRule="auto"/>
        <w:ind w:left="426"/>
        <w:jc w:val="both"/>
        <w:rPr>
          <w:rFonts w:cs="Arial" w:eastAsiaTheme="minorHAnsi"/>
          <w:color w:val="000000" w:themeColor="text1"/>
          <w:szCs w:val="20"/>
          <w:lang w:eastAsia="en-US"/>
          <w14:textFill>
            <w14:solidFill>
              <w14:schemeClr w14:val="tx1"/>
            </w14:solidFill>
          </w14:textFill>
        </w:rPr>
      </w:pPr>
    </w:p>
    <w:p>
      <w:pPr>
        <w:pStyle w:val="31"/>
        <w:spacing w:before="0" w:after="0" w:line="360" w:lineRule="auto"/>
        <w:rPr>
          <w:color w:val="000000" w:themeColor="text1"/>
          <w14:textFill>
            <w14:solidFill>
              <w14:schemeClr w14:val="tx1"/>
            </w14:solidFill>
          </w14:textFill>
        </w:rPr>
      </w:pPr>
      <w:r>
        <w:rPr>
          <w:color w:val="000000" w:themeColor="text1"/>
          <w14:textFill>
            <w14:solidFill>
              <w14:schemeClr w14:val="tx1"/>
            </w14:solidFill>
          </w14:textFill>
        </w:rPr>
        <w:t>DOS CRITÉRIO DE SUSTENTABILIDADE</w:t>
      </w:r>
    </w:p>
    <w:p>
      <w:pPr>
        <w:spacing w:line="360" w:lineRule="auto"/>
        <w:rPr>
          <w:rFonts w:cs="Arial"/>
        </w:rPr>
      </w:pPr>
    </w:p>
    <w:p>
      <w:pPr>
        <w:pStyle w:val="17"/>
        <w:numPr>
          <w:ilvl w:val="1"/>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Conforme a Instrução Normativa SLTI/MPOG n° 1, de 19/01/2010, os editais para a contratação de serviços deverão prever que as empresas contratadas adotarão as seguintes práticas de sustentabilidade na execução dos serviços, quando couber (Art. 6º), IN Nº 01/2010);</w:t>
      </w:r>
    </w:p>
    <w:p>
      <w:pPr>
        <w:pStyle w:val="17"/>
        <w:numPr>
          <w:ilvl w:val="1"/>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 Contratada deverá observar as diretrizes, critérios e procedimentos para a gestão dos resíduos da construção civil estabelecidos na Lei nº 12.305, de 2010 – Política Nacional de Resíduos Sólidos, Resolução nº 307, de 05/07/2002, do Conselho Nacional de Meio Ambiente – CONAMA, e Instrução Normativa SLTI/MPOG n° 1, de 19/01/2010, nos seguintes termos:</w:t>
      </w:r>
    </w:p>
    <w:p>
      <w:pPr>
        <w:pStyle w:val="17"/>
        <w:numPr>
          <w:ilvl w:val="2"/>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Adotar medidas para evitar o desperdício de água tratada, conforme instituído no Decreto nº 48.138, de 8 de outubro de 2003;</w:t>
      </w:r>
    </w:p>
    <w:p>
      <w:pPr>
        <w:pStyle w:val="17"/>
        <w:numPr>
          <w:ilvl w:val="2"/>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Observar a Resolução CONAMA nº 20, de 7 de dezembro de 1994, quanto aos equipamentos de limpeza que gerem ruído no seu funcionamento; </w:t>
      </w:r>
    </w:p>
    <w:p>
      <w:pPr>
        <w:pStyle w:val="17"/>
        <w:numPr>
          <w:ilvl w:val="2"/>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Fornecer aos empregados os equipamentos de segurança que se fizerem necessários, para a execução de serviços; </w:t>
      </w:r>
    </w:p>
    <w:p>
      <w:pPr>
        <w:pStyle w:val="17"/>
        <w:numPr>
          <w:ilvl w:val="2"/>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Respeitar as Normas Brasileiras – NBR publicadas pela Associação Brasileira de Normas Técnicas sobre resíduos sólidos; </w:t>
      </w:r>
    </w:p>
    <w:p>
      <w:pPr>
        <w:pStyle w:val="17"/>
        <w:numPr>
          <w:ilvl w:val="1"/>
          <w:numId w:val="2"/>
        </w:numPr>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Decreto Nº 7746/2012 - Diretrizes de sustentabilidade (Art 4º):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Menor Impacto sobre recursos naturais como flora, fauna, ar, solo e água;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Preferência para materiais, tecnologias e matérias primas de origem local;</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Maior eficiência na utilização de recursos naturais como água e energia;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Maior vida útil e menor custo de manutenção do bem e da obra;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Uso de inovações que reduzem a pressão sobre recursos naturais;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Origem ambientalmente regular dos recursos naturais utilizados nos bens, serviços e obras;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Os serviços deverão ser executados em conformidade com as normas de segurança e em consonância com as exigências dos órgãos ambientais competentes; </w:t>
      </w:r>
    </w:p>
    <w:p>
      <w:pPr>
        <w:pStyle w:val="17"/>
        <w:numPr>
          <w:ilvl w:val="2"/>
          <w:numId w:val="2"/>
        </w:numPr>
        <w:autoSpaceDE w:val="0"/>
        <w:autoSpaceDN w:val="0"/>
        <w:adjustRightInd w:val="0"/>
        <w:spacing w:line="360" w:lineRule="auto"/>
        <w:ind w:left="426" w:firstLine="0"/>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Caso necessário, o pregoeiro poderá solicitar documentação comprobatória para análise técnica dos limites máximos</w:t>
      </w:r>
      <w:r>
        <w:rPr>
          <w:rFonts w:cs="Arial" w:eastAsiaTheme="minorHAnsi"/>
          <w:color w:val="000000" w:themeColor="text1"/>
          <w:szCs w:val="20"/>
          <w:lang w:eastAsia="en-US"/>
          <w14:textFill>
            <w14:solidFill>
              <w14:schemeClr w14:val="tx1"/>
            </w14:solidFill>
          </w14:textFill>
        </w:rPr>
        <w:t xml:space="preserve"> </w:t>
      </w:r>
      <w:r>
        <w:rPr>
          <w:rFonts w:cs="Arial"/>
          <w:color w:val="000000" w:themeColor="text1"/>
          <w:szCs w:val="20"/>
          <w14:textFill>
            <w14:solidFill>
              <w14:schemeClr w14:val="tx1"/>
            </w14:solidFill>
          </w14:textFill>
        </w:rPr>
        <w:t>encontrados nos constituintes mencionados acima.</w:t>
      </w:r>
    </w:p>
    <w:p>
      <w:pPr>
        <w:pStyle w:val="17"/>
        <w:spacing w:line="360" w:lineRule="auto"/>
        <w:ind w:left="426"/>
        <w:jc w:val="both"/>
        <w:rPr>
          <w:rFonts w:cs="Arial" w:eastAsiaTheme="minorHAnsi"/>
          <w:color w:val="000000" w:themeColor="text1"/>
          <w:szCs w:val="20"/>
          <w:lang w:eastAsia="en-US"/>
          <w14:textFill>
            <w14:solidFill>
              <w14:schemeClr w14:val="tx1"/>
            </w14:solidFill>
          </w14:textFill>
        </w:rPr>
      </w:pPr>
    </w:p>
    <w:p>
      <w:pPr>
        <w:pStyle w:val="31"/>
        <w:spacing w:line="360" w:lineRule="auto"/>
      </w:pPr>
      <w:r>
        <w:t>CLASSIFICAÇÃO DOS BENS COMUNS</w:t>
      </w:r>
    </w:p>
    <w:p>
      <w:pPr>
        <w:spacing w:line="360" w:lineRule="auto"/>
        <w:ind w:left="360"/>
        <w:jc w:val="both"/>
      </w:pPr>
      <w:r>
        <w:t>3.1 Os bens que constituem o objeto a ser contratado, enumerados no presente instrumento, enquadram-se na classificação de bens e serviços comuns, nos termos do parágrafo único, do art. 1° da Lei 10.520 de 2002.</w:t>
      </w:r>
    </w:p>
    <w:p>
      <w:pPr>
        <w:spacing w:line="360" w:lineRule="auto"/>
        <w:ind w:left="360"/>
        <w:jc w:val="both"/>
      </w:pPr>
      <w:r>
        <w:t>3.2 Em consonância com o apresentado pelos dispositivos legais, os supracitados itens possuem padrões de desempenho e qualidade objetivamente definidos neste edital por meio de especificações no mercado.</w:t>
      </w:r>
    </w:p>
    <w:p>
      <w:pPr>
        <w:pStyle w:val="31"/>
        <w:spacing w:line="360" w:lineRule="auto"/>
      </w:pPr>
      <w:r>
        <w:t>ENTREGA E CRITÉRIOS DE ACEITAÇÃO DO OBJETO.</w:t>
      </w:r>
    </w:p>
    <w:p>
      <w:pPr>
        <w:spacing w:before="120" w:after="120" w:line="360" w:lineRule="auto"/>
        <w:ind w:left="360"/>
        <w:jc w:val="both"/>
        <w:rPr>
          <w:rFonts w:cs="Arial"/>
          <w:iCs/>
          <w:color w:val="000000"/>
          <w:szCs w:val="20"/>
        </w:rPr>
      </w:pPr>
      <w:r>
        <w:t xml:space="preserve">4.1 </w:t>
      </w:r>
      <w:r>
        <w:tab/>
      </w:r>
      <w:r>
        <w:tab/>
      </w:r>
      <w:r>
        <w:rPr>
          <w:rFonts w:cs="Arial"/>
          <w:iCs/>
          <w:color w:val="000000"/>
          <w:szCs w:val="20"/>
        </w:rPr>
        <w:t xml:space="preserve">O prazo de entrega dos bens é de </w:t>
      </w:r>
      <w:r>
        <w:rPr>
          <w:rFonts w:cs="Arial"/>
          <w:iCs/>
          <w:szCs w:val="20"/>
        </w:rPr>
        <w:t xml:space="preserve">90 (noventa) </w:t>
      </w:r>
      <w:r>
        <w:rPr>
          <w:rFonts w:cs="Arial"/>
          <w:iCs/>
          <w:color w:val="000000"/>
          <w:szCs w:val="20"/>
        </w:rPr>
        <w:t xml:space="preserve">dias, contados do primeiro dia a partir da assinatura do contrato, em remessa única, no seguinte endereço e horário: IFPB – Campus João Pessoa, Avenida Primeiro de Maio, 720, João Pessoa/PB de segunda a sexta das 07:00 às 18:00 horas. </w:t>
      </w:r>
    </w:p>
    <w:p>
      <w:pPr>
        <w:spacing w:before="120" w:after="120" w:line="360" w:lineRule="auto"/>
        <w:ind w:left="360"/>
        <w:jc w:val="both"/>
      </w:pPr>
      <w:r>
        <w:t>4.2.</w:t>
      </w:r>
      <w:r>
        <w:tab/>
      </w:r>
      <w:r>
        <w:tab/>
      </w:r>
      <w:r>
        <w:t>Os bens serão recebidos provisoriamente no prazo de 15 (quinze) dias, pelo(a) responsável pelo acompanhamento e fiscalização do contrato, para efeito de posterior verificação de sua conformidade com as especificações constantes neste Termo de Referência e na proposta.</w:t>
      </w:r>
    </w:p>
    <w:p>
      <w:pPr>
        <w:spacing w:before="120" w:after="120" w:line="360" w:lineRule="auto"/>
        <w:ind w:left="360"/>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4.3.</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pPr>
        <w:spacing w:before="120" w:after="120" w:line="360" w:lineRule="auto"/>
        <w:ind w:left="105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4.4.</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Os bens serão recebidos definitivamente no prazo de 15 (quinze) dias, contados do recebimento provisório, após a verificação da qualidade e quantidade do material e consequente aceitação mediante termo circunstanciado.</w:t>
      </w:r>
    </w:p>
    <w:p>
      <w:pPr>
        <w:spacing w:before="120" w:after="120" w:line="360" w:lineRule="auto"/>
        <w:ind w:left="1764"/>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4.4.1.</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Na hipótese de a verificação a que se refere o subitem anterior não ser procedida dentro do prazo fixado, reputar-se-á como realizada, consumando-se o recebimento definitivo no dia do esgotamento do prazo.</w:t>
      </w:r>
    </w:p>
    <w:p>
      <w:pPr>
        <w:spacing w:before="120" w:after="120" w:line="360" w:lineRule="auto"/>
        <w:ind w:left="105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4.5.</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O recebimento provisório ou definitivo do objeto não exclui a responsabilidade da contratada pelos prejuízos resultantes da incorreta execução do contrato.</w:t>
      </w:r>
    </w:p>
    <w:p>
      <w:pPr>
        <w:spacing w:before="120" w:after="120" w:line="360" w:lineRule="auto"/>
        <w:jc w:val="both"/>
        <w:rPr>
          <w:rFonts w:cs="Arial" w:eastAsiaTheme="minorHAnsi"/>
          <w:b/>
          <w:bCs/>
          <w:color w:val="000000" w:themeColor="text1"/>
          <w:szCs w:val="20"/>
          <w:lang w:eastAsia="en-US"/>
          <w14:textFill>
            <w14:solidFill>
              <w14:schemeClr w14:val="tx1"/>
            </w14:solidFill>
          </w14:textFill>
        </w:rPr>
      </w:pPr>
      <w:r>
        <w:rPr>
          <w:rFonts w:cs="Arial" w:eastAsiaTheme="minorHAnsi"/>
          <w:b/>
          <w:bCs/>
          <w:color w:val="000000" w:themeColor="text1"/>
          <w:szCs w:val="20"/>
          <w:lang w:eastAsia="en-US"/>
          <w14:textFill>
            <w14:solidFill>
              <w14:schemeClr w14:val="tx1"/>
            </w14:solidFill>
          </w14:textFill>
        </w:rPr>
        <w:t>5.</w:t>
      </w:r>
      <w:r>
        <w:rPr>
          <w:rFonts w:cs="Arial" w:eastAsiaTheme="minorHAnsi"/>
          <w:b/>
          <w:bCs/>
          <w:color w:val="000000" w:themeColor="text1"/>
          <w:szCs w:val="20"/>
          <w:lang w:eastAsia="en-US"/>
          <w14:textFill>
            <w14:solidFill>
              <w14:schemeClr w14:val="tx1"/>
            </w14:solidFill>
          </w14:textFill>
        </w:rPr>
        <w:tab/>
      </w:r>
      <w:r>
        <w:rPr>
          <w:rFonts w:cs="Arial" w:eastAsiaTheme="minorHAnsi"/>
          <w:b/>
          <w:bCs/>
          <w:color w:val="000000" w:themeColor="text1"/>
          <w:szCs w:val="20"/>
          <w:lang w:eastAsia="en-US"/>
          <w14:textFill>
            <w14:solidFill>
              <w14:schemeClr w14:val="tx1"/>
            </w14:solidFill>
          </w14:textFill>
        </w:rPr>
        <w:t>OBRIGAÇÕES DA CONTRATANTE</w:t>
      </w:r>
    </w:p>
    <w:p>
      <w:pPr>
        <w:spacing w:before="120" w:after="120" w:line="360" w:lineRule="auto"/>
        <w:ind w:firstLine="708"/>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5.1.</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São obrigações da Contratante:</w:t>
      </w:r>
    </w:p>
    <w:p>
      <w:pPr>
        <w:spacing w:before="120" w:after="120" w:line="360" w:lineRule="auto"/>
        <w:ind w:left="708" w:firstLine="708"/>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5.1.1.</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receber o objeto no prazo e condições estabelecidas no Edital e seus anexos;</w:t>
      </w:r>
    </w:p>
    <w:p>
      <w:pPr>
        <w:spacing w:before="120" w:after="120" w:line="360" w:lineRule="auto"/>
        <w:ind w:left="141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5.1.2.</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verificar minuciosamente, no prazo fixado, a conformidade dos bens recebidos provisoriamente com as especificações constantes do Edital e da proposta, para fins de aceitação e recebimento definitivo;</w:t>
      </w:r>
    </w:p>
    <w:p>
      <w:pPr>
        <w:spacing w:before="120" w:after="120" w:line="360" w:lineRule="auto"/>
        <w:ind w:left="141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5.1.3.</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comunicar à Contratada, por escrito, sobre imperfeições, falhas ou irregularidades verificadas no objeto fornecido, para que seja substituído, reparado ou corrigido;</w:t>
      </w:r>
    </w:p>
    <w:p>
      <w:pPr>
        <w:spacing w:before="120" w:after="120" w:line="360" w:lineRule="auto"/>
        <w:ind w:left="141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5.1.4.</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acompanhar e fiscalizar o cumprimento das obrigações da Contratada, através de comissão/servidor especialmente designado;</w:t>
      </w:r>
    </w:p>
    <w:p>
      <w:pPr>
        <w:spacing w:before="120" w:after="120" w:line="360" w:lineRule="auto"/>
        <w:ind w:left="141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5.1.5.</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efetuar o pagamento à Contratada no valor correspondente ao fornecimento do objeto, no prazo e forma estabelecidos no Edital e seus anexos;</w:t>
      </w:r>
    </w:p>
    <w:p>
      <w:pPr>
        <w:spacing w:before="120" w:after="120" w:line="360" w:lineRule="auto"/>
        <w:ind w:left="42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5.2.</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spacing w:before="120" w:after="120" w:line="360" w:lineRule="auto"/>
        <w:jc w:val="both"/>
        <w:rPr>
          <w:rFonts w:cs="Arial" w:eastAsiaTheme="minorHAnsi"/>
          <w:b/>
          <w:bCs/>
          <w:color w:val="000000" w:themeColor="text1"/>
          <w:szCs w:val="20"/>
          <w:lang w:eastAsia="en-US"/>
          <w14:textFill>
            <w14:solidFill>
              <w14:schemeClr w14:val="tx1"/>
            </w14:solidFill>
          </w14:textFill>
        </w:rPr>
      </w:pPr>
      <w:r>
        <w:rPr>
          <w:rFonts w:cs="Arial" w:eastAsiaTheme="minorHAnsi"/>
          <w:b/>
          <w:bCs/>
          <w:color w:val="000000" w:themeColor="text1"/>
          <w:szCs w:val="20"/>
          <w:lang w:eastAsia="en-US"/>
          <w14:textFill>
            <w14:solidFill>
              <w14:schemeClr w14:val="tx1"/>
            </w14:solidFill>
          </w14:textFill>
        </w:rPr>
        <w:t>6.</w:t>
      </w:r>
      <w:r>
        <w:rPr>
          <w:rFonts w:cs="Arial" w:eastAsiaTheme="minorHAnsi"/>
          <w:b/>
          <w:bCs/>
          <w:color w:val="000000" w:themeColor="text1"/>
          <w:szCs w:val="20"/>
          <w:lang w:eastAsia="en-US"/>
          <w14:textFill>
            <w14:solidFill>
              <w14:schemeClr w14:val="tx1"/>
            </w14:solidFill>
          </w14:textFill>
        </w:rPr>
        <w:tab/>
      </w:r>
      <w:r>
        <w:rPr>
          <w:rFonts w:cs="Arial" w:eastAsiaTheme="minorHAnsi"/>
          <w:b/>
          <w:bCs/>
          <w:color w:val="000000" w:themeColor="text1"/>
          <w:szCs w:val="20"/>
          <w:lang w:eastAsia="en-US"/>
          <w14:textFill>
            <w14:solidFill>
              <w14:schemeClr w14:val="tx1"/>
            </w14:solidFill>
          </w14:textFill>
        </w:rPr>
        <w:t>OBRIGAÇÕES DA CONTRATADA</w:t>
      </w:r>
    </w:p>
    <w:p>
      <w:pPr>
        <w:spacing w:before="120" w:after="120" w:line="360" w:lineRule="auto"/>
        <w:ind w:left="426"/>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A Contratada deve cumprir todas as obrigações constantes no Edital, seus anexos e sua proposta, assumindo como exclusivamente seus os riscos e as despesas decorrentes da boa e perfeita execução do objeto e, ainda:</w:t>
      </w:r>
    </w:p>
    <w:p>
      <w:pPr>
        <w:spacing w:before="120" w:after="120" w:line="360" w:lineRule="auto"/>
        <w:ind w:left="990"/>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6.1.1.</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pPr>
        <w:spacing w:before="120" w:after="120" w:line="360" w:lineRule="auto"/>
        <w:ind w:left="1698"/>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6.1.1.1.</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O objeto deve estar acompanhado do manual do usuário, com uma versão em português e da relação da rede de assistência técnica autorizada;</w:t>
      </w:r>
    </w:p>
    <w:p>
      <w:pPr>
        <w:spacing w:before="120" w:after="120" w:line="360" w:lineRule="auto"/>
        <w:ind w:left="990"/>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6.1.2.</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responsabilizar-se pelos vícios e danos decorrentes do objeto, de acordo com os artigos 12, 13 e 17 a 27, do Código de Defesa do Consumidor (Lei nº 8.078, de 1990);</w:t>
      </w:r>
    </w:p>
    <w:p>
      <w:pPr>
        <w:spacing w:before="120" w:after="120" w:line="360" w:lineRule="auto"/>
        <w:ind w:left="990"/>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6.1.3.</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substituir, reparar ou corrigir, às suas expensas, no prazo fixado neste Termo de Referência, o objeto com avarias ou defeitos;</w:t>
      </w:r>
    </w:p>
    <w:p>
      <w:pPr>
        <w:spacing w:before="120" w:after="120" w:line="360" w:lineRule="auto"/>
        <w:ind w:left="990"/>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6.1.4.</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comunicar à Contratante, no prazo máximo de 24 (vinte e quatro) horas que antecede a data da entrega, os motivos que impossibilitem o cumprimento do prazo previsto, com a devida comprovação;</w:t>
      </w:r>
    </w:p>
    <w:p>
      <w:pPr>
        <w:spacing w:before="120" w:after="120" w:line="360" w:lineRule="auto"/>
        <w:ind w:left="990"/>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6.1.5.</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manter, durante toda a execução do contrato, em compatibilidade com as obrigações assumidas, todas as condições de habilitação e qualificação exigidas na licitação;</w:t>
      </w:r>
    </w:p>
    <w:p>
      <w:pPr>
        <w:spacing w:before="120" w:after="120" w:line="360" w:lineRule="auto"/>
        <w:ind w:left="708" w:firstLine="282"/>
        <w:jc w:val="both"/>
        <w:rPr>
          <w:rFonts w:cs="Arial" w:eastAsiaTheme="minorHAnsi"/>
          <w:color w:val="000000" w:themeColor="text1"/>
          <w:szCs w:val="20"/>
          <w:lang w:eastAsia="en-US"/>
          <w14:textFill>
            <w14:solidFill>
              <w14:schemeClr w14:val="tx1"/>
            </w14:solidFill>
          </w14:textFill>
        </w:rPr>
      </w:pPr>
      <w:r>
        <w:rPr>
          <w:rFonts w:cs="Arial" w:eastAsiaTheme="minorHAnsi"/>
          <w:color w:val="000000" w:themeColor="text1"/>
          <w:szCs w:val="20"/>
          <w:lang w:eastAsia="en-US"/>
          <w14:textFill>
            <w14:solidFill>
              <w14:schemeClr w14:val="tx1"/>
            </w14:solidFill>
          </w14:textFill>
        </w:rPr>
        <w:t>6.1.6.</w:t>
      </w:r>
      <w:r>
        <w:rPr>
          <w:rFonts w:cs="Arial" w:eastAsiaTheme="minorHAnsi"/>
          <w:color w:val="000000" w:themeColor="text1"/>
          <w:szCs w:val="20"/>
          <w:lang w:eastAsia="en-US"/>
          <w14:textFill>
            <w14:solidFill>
              <w14:schemeClr w14:val="tx1"/>
            </w14:solidFill>
          </w14:textFill>
        </w:rPr>
        <w:tab/>
      </w:r>
      <w:r>
        <w:rPr>
          <w:rFonts w:cs="Arial" w:eastAsiaTheme="minorHAnsi"/>
          <w:color w:val="000000" w:themeColor="text1"/>
          <w:szCs w:val="20"/>
          <w:lang w:eastAsia="en-US"/>
          <w14:textFill>
            <w14:solidFill>
              <w14:schemeClr w14:val="tx1"/>
            </w14:solidFill>
          </w14:textFill>
        </w:rPr>
        <w:t>indicar preposto para representá-la durante a execução do contrato.</w:t>
      </w:r>
    </w:p>
    <w:p>
      <w:pPr>
        <w:pStyle w:val="31"/>
        <w:numPr>
          <w:ilvl w:val="0"/>
          <w:numId w:val="5"/>
        </w:numPr>
        <w:rPr>
          <w:color w:val="000000" w:themeColor="text1"/>
          <w14:textFill>
            <w14:solidFill>
              <w14:schemeClr w14:val="tx1"/>
            </w14:solidFill>
          </w14:textFill>
        </w:rPr>
      </w:pPr>
      <w:r>
        <w:rPr>
          <w:color w:val="000000" w:themeColor="text1"/>
          <w14:textFill>
            <w14:solidFill>
              <w14:schemeClr w14:val="tx1"/>
            </w14:solidFill>
          </w14:textFill>
        </w:rPr>
        <w:t>DA SUBCONTRATAÇÃO</w:t>
      </w:r>
    </w:p>
    <w:p>
      <w:pPr>
        <w:numPr>
          <w:ilvl w:val="1"/>
          <w:numId w:val="2"/>
        </w:numPr>
        <w:spacing w:line="360" w:lineRule="auto"/>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É vedada a subcontratação completa ou parcial da parcela principal da obrigação que neste caso trata-se do fornecimento de equipamentos.</w:t>
      </w:r>
    </w:p>
    <w:p>
      <w:pPr>
        <w:numPr>
          <w:ilvl w:val="1"/>
          <w:numId w:val="2"/>
        </w:numPr>
        <w:spacing w:line="360" w:lineRule="auto"/>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Serão aceitas subcontratações de serviços acessórios para fornecimento do objeto deste contrato, contudo, em qualquer situação, a licitante vencedora é a única e integral responsável pelo fornecimento global do objeto, desde que a subcontratada atenda às exigências técnicas deste Termo de Referência e a subcontratação seja previamente aprovada pela gestão/fiscalização do contrato.</w:t>
      </w:r>
    </w:p>
    <w:p>
      <w:pPr>
        <w:spacing w:line="360" w:lineRule="auto"/>
        <w:jc w:val="both"/>
        <w:rPr>
          <w:rFonts w:cs="Arial"/>
          <w:b/>
          <w:bCs/>
          <w:color w:val="000000" w:themeColor="text1"/>
          <w:szCs w:val="20"/>
          <w14:textFill>
            <w14:solidFill>
              <w14:schemeClr w14:val="tx1"/>
            </w14:solidFill>
          </w14:textFill>
        </w:rPr>
      </w:pPr>
      <w:r>
        <w:rPr>
          <w:rFonts w:cs="Arial"/>
          <w:b/>
          <w:bCs/>
          <w:color w:val="000000" w:themeColor="text1"/>
          <w:szCs w:val="20"/>
          <w14:textFill>
            <w14:solidFill>
              <w14:schemeClr w14:val="tx1"/>
            </w14:solidFill>
          </w14:textFill>
        </w:rPr>
        <w:t>8.</w:t>
      </w:r>
      <w:r>
        <w:rPr>
          <w:rFonts w:cs="Arial"/>
          <w:b/>
          <w:bCs/>
          <w:color w:val="000000" w:themeColor="text1"/>
          <w:szCs w:val="20"/>
          <w14:textFill>
            <w14:solidFill>
              <w14:schemeClr w14:val="tx1"/>
            </w14:solidFill>
          </w14:textFill>
        </w:rPr>
        <w:tab/>
      </w:r>
      <w:r>
        <w:rPr>
          <w:rFonts w:cs="Arial"/>
          <w:b/>
          <w:bCs/>
          <w:color w:val="000000" w:themeColor="text1"/>
          <w:szCs w:val="20"/>
          <w14:textFill>
            <w14:solidFill>
              <w14:schemeClr w14:val="tx1"/>
            </w14:solidFill>
          </w14:textFill>
        </w:rPr>
        <w:t>DA ALTERAÇÃO SUBJETIVA</w:t>
      </w:r>
    </w:p>
    <w:p>
      <w:pPr>
        <w:spacing w:line="360" w:lineRule="auto"/>
        <w:ind w:left="42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8.1.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spacing w:line="360" w:lineRule="auto"/>
        <w:jc w:val="both"/>
        <w:rPr>
          <w:rFonts w:cs="Arial"/>
          <w:b/>
          <w:bCs/>
          <w:szCs w:val="20"/>
        </w:rPr>
      </w:pPr>
      <w:r>
        <w:rPr>
          <w:rFonts w:cs="Arial"/>
          <w:b/>
          <w:bCs/>
          <w:szCs w:val="20"/>
        </w:rPr>
        <w:t>9.</w:t>
      </w:r>
      <w:r>
        <w:rPr>
          <w:rFonts w:cs="Arial"/>
          <w:b/>
          <w:bCs/>
          <w:szCs w:val="20"/>
        </w:rPr>
        <w:tab/>
      </w:r>
      <w:r>
        <w:rPr>
          <w:rFonts w:cs="Arial"/>
          <w:b/>
          <w:bCs/>
          <w:szCs w:val="20"/>
        </w:rPr>
        <w:t>DO CONTROLE E FISCALIZAÇÃO DA EXECUÇÃO</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9.1.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9.1.1.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O recebimento de material de valor superior a R$ 176.000,00 (cento e setenta e seis mil reais) será confiado a uma comissão de, no mínimo, 3 (três) membros, designados pela autoridade competente.</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9.2.</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spacing w:line="360" w:lineRule="auto"/>
        <w:ind w:left="42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9.3.</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spacing w:line="360" w:lineRule="auto"/>
        <w:jc w:val="both"/>
        <w:rPr>
          <w:rFonts w:cs="Arial"/>
          <w:color w:val="000000" w:themeColor="text1"/>
          <w:szCs w:val="20"/>
          <w14:textFill>
            <w14:solidFill>
              <w14:schemeClr w14:val="tx1"/>
            </w14:solidFill>
          </w14:textFill>
        </w:rPr>
      </w:pPr>
      <w:r>
        <w:rPr>
          <w:rFonts w:cs="Arial"/>
          <w:b/>
          <w:bCs/>
          <w:szCs w:val="20"/>
        </w:rPr>
        <w:t>10.</w:t>
      </w:r>
      <w:r>
        <w:rPr>
          <w:rFonts w:cs="Arial"/>
          <w:b/>
          <w:bCs/>
          <w:szCs w:val="20"/>
        </w:rPr>
        <w:tab/>
      </w:r>
      <w:r>
        <w:rPr>
          <w:rFonts w:cs="Arial"/>
          <w:b/>
          <w:bCs/>
          <w:szCs w:val="20"/>
        </w:rPr>
        <w:t>DO PAGAMENTO</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O pagamento será realizado no prazo máximo de até 30 (trinta) dias, contados a partir do recebimento da Nota Fiscal ou Fatura, através de ordem bancária, para crédito em banco, agência e conta corrente indicados pelo contratado.</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10.2.</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Considera-se ocorrido o recebimento da nota fiscal ou fatura no momento em que o órgão contratante atestar a execução do objeto do contrato.</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10.3.</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10.3.1.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Constatando-se, junto ao SICAF, a situação de irregularidade do fornecedor contratado, deverão ser tomadas as providências previstas no do art. 31 da Instrução Normativa nº 3, de 26 de abril de 2018.</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10.4.</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10.5.</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Será considerada data do pagamento o dia em que constar como emitida a ordem bancária para pagamento.</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10.6.</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Antes de cada pagamento à contratada, será realizada consulta ao SICAF para verificar a manutenção das condições de habilitação exigidas no edital. </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10.7.</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10.8.</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spacing w:line="360" w:lineRule="auto"/>
        <w:ind w:left="1413"/>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10.9.</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10.10.</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Persistindo a irregularidade, a contratante deverá adotar as medidas necessárias à rescisão contratual nos autos do processo administrativo correspondente, assegurada à contratada a ampla defesa. </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Havendo a efetiva execução do objeto, os pagamentos serão realizados normalmente, até que se decida pela rescisão do contrato, caso a contratada não regularize sua situação junto ao SICAF.  </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spacing w:line="360" w:lineRule="auto"/>
        <w:ind w:left="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10.12.</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Quando do pagamento, será efetuada a retenção tributária prevista na legislação aplicável.</w:t>
      </w:r>
    </w:p>
    <w:p>
      <w:pPr>
        <w:spacing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10.12.1.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spacing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10.13.</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spacing w:after="0" w:line="360" w:lineRule="auto"/>
        <w:ind w:firstLine="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EM = I x N x VP, sendo:</w:t>
      </w:r>
    </w:p>
    <w:p>
      <w:pPr>
        <w:spacing w:after="0" w:line="360" w:lineRule="auto"/>
        <w:ind w:firstLine="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EM = Encargos moratórios;</w:t>
      </w:r>
    </w:p>
    <w:p>
      <w:pPr>
        <w:spacing w:after="0" w:line="360" w:lineRule="auto"/>
        <w:ind w:left="1416"/>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N = Número de dias entre a data prevista para o pagamento e a do efetivo pagamento;</w:t>
      </w:r>
    </w:p>
    <w:p>
      <w:pPr>
        <w:spacing w:after="0" w:line="360" w:lineRule="auto"/>
        <w:ind w:left="708" w:firstLine="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VP = Valor da parcela a ser paga.</w:t>
      </w:r>
    </w:p>
    <w:p>
      <w:pPr>
        <w:spacing w:after="0" w:line="360" w:lineRule="auto"/>
        <w:ind w:left="708" w:firstLine="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I = Índice de compensação financeira = 0,00016438, assim apurado:</w:t>
      </w:r>
    </w:p>
    <w:p>
      <w:pPr>
        <w:spacing w:after="0" w:line="240" w:lineRule="auto"/>
        <w:ind w:left="708" w:firstLine="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I = (TX)</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I = ( 6 / 100 )</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I = 0,00016438</w:t>
      </w:r>
    </w:p>
    <w:p>
      <w:pPr>
        <w:spacing w:after="0" w:line="240" w:lineRule="auto"/>
        <w:ind w:left="2832"/>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   ----------------</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TX = Percentual da taxa anual = 6%</w:t>
      </w:r>
    </w:p>
    <w:p>
      <w:pPr>
        <w:spacing w:after="0" w:line="240" w:lineRule="auto"/>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 xml:space="preserve">                                                            365</w:t>
      </w:r>
    </w:p>
    <w:p>
      <w:pPr>
        <w:spacing w:after="0" w:line="240" w:lineRule="auto"/>
        <w:jc w:val="both"/>
        <w:rPr>
          <w:rFonts w:cs="Arial"/>
          <w:color w:val="000000" w:themeColor="text1"/>
          <w:szCs w:val="20"/>
          <w14:textFill>
            <w14:solidFill>
              <w14:schemeClr w14:val="tx1"/>
            </w14:solidFill>
          </w14:textFill>
        </w:rPr>
      </w:pPr>
    </w:p>
    <w:p>
      <w:pPr>
        <w:spacing w:after="0" w:line="360" w:lineRule="auto"/>
        <w:jc w:val="both"/>
        <w:rPr>
          <w:rFonts w:cs="Arial"/>
          <w:b/>
          <w:bCs/>
          <w:color w:val="000000" w:themeColor="text1"/>
          <w:szCs w:val="20"/>
          <w14:textFill>
            <w14:solidFill>
              <w14:schemeClr w14:val="tx1"/>
            </w14:solidFill>
          </w14:textFill>
        </w:rPr>
      </w:pPr>
      <w:r>
        <w:rPr>
          <w:rFonts w:cs="Arial"/>
          <w:b/>
          <w:bCs/>
          <w:color w:val="000000" w:themeColor="text1"/>
          <w:szCs w:val="20"/>
          <w14:textFill>
            <w14:solidFill>
              <w14:schemeClr w14:val="tx1"/>
            </w14:solidFill>
          </w14:textFill>
        </w:rPr>
        <w:t>11.</w:t>
      </w:r>
      <w:r>
        <w:rPr>
          <w:rFonts w:cs="Arial"/>
          <w:b/>
          <w:bCs/>
          <w:color w:val="000000" w:themeColor="text1"/>
          <w:szCs w:val="20"/>
          <w14:textFill>
            <w14:solidFill>
              <w14:schemeClr w14:val="tx1"/>
            </w14:solidFill>
          </w14:textFill>
        </w:rPr>
        <w:tab/>
      </w:r>
      <w:r>
        <w:rPr>
          <w:rFonts w:cs="Arial"/>
          <w:b/>
          <w:bCs/>
          <w:color w:val="000000" w:themeColor="text1"/>
          <w:szCs w:val="20"/>
          <w14:textFill>
            <w14:solidFill>
              <w14:schemeClr w14:val="tx1"/>
            </w14:solidFill>
          </w14:textFill>
        </w:rPr>
        <w:t>DO REAJUSTE</w:t>
      </w:r>
    </w:p>
    <w:p>
      <w:pPr>
        <w:spacing w:after="0"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Os preços são fixos e irreajustáveis no prazo de um ano contado da data limite para a apresentação das propostas.</w:t>
      </w:r>
    </w:p>
    <w:p>
      <w:pPr>
        <w:spacing w:after="0" w:line="360" w:lineRule="auto"/>
        <w:ind w:left="1413"/>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11.1.1.</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pPr>
        <w:spacing w:after="0"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11.2.</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Nos reajustes subsequentes ao primeiro, o interregno mínimo de um ano será contado a partir dos efeitos financeiros do último reajuste.</w:t>
      </w:r>
    </w:p>
    <w:p>
      <w:pPr>
        <w:spacing w:after="0"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11.3.</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spacing w:after="0"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11.4.</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Nas aferições finais, o índice utilizado para reajuste será, obrigatoriamente, o definitivo.</w:t>
      </w:r>
    </w:p>
    <w:p>
      <w:pPr>
        <w:spacing w:after="0"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11.5.</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Caso o índice estabelecido para reajustamento venha a ser extinto ou de qualquer forma não possa mais ser utilizado, será adotado, em substituição, o que vier a ser determinado pela legislação então em vigor.</w:t>
      </w:r>
    </w:p>
    <w:p>
      <w:pPr>
        <w:spacing w:after="0" w:line="360" w:lineRule="auto"/>
        <w:ind w:left="70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11.6.</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 xml:space="preserve">Na ausência de previsão legal quanto ao índice substituto, as partes elegerão novo índice oficial, para reajustamento do preço do valor remanescente, por meio de termo aditivo. </w:t>
      </w:r>
    </w:p>
    <w:p>
      <w:pPr>
        <w:spacing w:after="0" w:line="360" w:lineRule="auto"/>
        <w:ind w:firstLine="708"/>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11.7.</w:t>
      </w:r>
      <w:r>
        <w:rPr>
          <w:rFonts w:cs="Arial"/>
          <w:color w:val="000000" w:themeColor="text1"/>
          <w:szCs w:val="20"/>
          <w14:textFill>
            <w14:solidFill>
              <w14:schemeClr w14:val="tx1"/>
            </w14:solidFill>
          </w14:textFill>
        </w:rPr>
        <w:tab/>
      </w:r>
      <w:r>
        <w:rPr>
          <w:rFonts w:cs="Arial"/>
          <w:color w:val="000000" w:themeColor="text1"/>
          <w:szCs w:val="20"/>
          <w14:textFill>
            <w14:solidFill>
              <w14:schemeClr w14:val="tx1"/>
            </w14:solidFill>
          </w14:textFill>
        </w:rPr>
        <w:t>O reajuste será realizado por apostilamento.</w:t>
      </w:r>
    </w:p>
    <w:p>
      <w:pPr>
        <w:spacing w:after="0" w:line="360" w:lineRule="auto"/>
        <w:jc w:val="both"/>
        <w:rPr>
          <w:rFonts w:cs="Arial"/>
          <w:b/>
          <w:bCs/>
          <w:szCs w:val="20"/>
        </w:rPr>
      </w:pPr>
      <w:r>
        <w:rPr>
          <w:rFonts w:cs="Arial"/>
          <w:b/>
          <w:bCs/>
          <w:szCs w:val="20"/>
        </w:rPr>
        <w:t>12.</w:t>
      </w:r>
      <w:r>
        <w:rPr>
          <w:rFonts w:cs="Arial"/>
          <w:b/>
          <w:bCs/>
          <w:szCs w:val="20"/>
        </w:rPr>
        <w:tab/>
      </w:r>
      <w:r>
        <w:rPr>
          <w:rFonts w:cs="Arial"/>
          <w:b/>
          <w:bCs/>
          <w:szCs w:val="20"/>
        </w:rPr>
        <w:t>DA GARANTIA DE EXECUÇÃO</w:t>
      </w:r>
    </w:p>
    <w:p>
      <w:pPr>
        <w:spacing w:after="0" w:line="360" w:lineRule="auto"/>
        <w:ind w:left="708"/>
        <w:jc w:val="both"/>
        <w:rPr>
          <w:rFonts w:cs="Arial"/>
          <w:szCs w:val="20"/>
        </w:rPr>
      </w:pPr>
      <w:r>
        <w:rPr>
          <w:rFonts w:cs="Arial"/>
          <w:szCs w:val="20"/>
        </w:rPr>
        <w:t>12.1.</w:t>
      </w:r>
      <w:r>
        <w:rPr>
          <w:rFonts w:cs="Arial"/>
          <w:szCs w:val="20"/>
        </w:rPr>
        <w:tab/>
      </w:r>
      <w:r>
        <w:rPr>
          <w:rFonts w:cs="Arial"/>
          <w:szCs w:val="20"/>
        </w:rPr>
        <w:t>O adjudicatário, no prazo de 15 (quinze) dias após a assinatura do Termo de Contrato ou aceite do instrumento equivalente, prestará garantia no valor correspondente a 5% (cinco por cento) do valor do Contrato, que será liberada de acordo com as condições previstas neste Edital, conforme disposto no art. 56 da Lei nº 8.666, de 1993, desde que cumpridas as obrigações contratuais.</w:t>
      </w:r>
    </w:p>
    <w:p>
      <w:pPr>
        <w:spacing w:after="0" w:line="360" w:lineRule="auto"/>
        <w:ind w:firstLine="708"/>
        <w:jc w:val="both"/>
        <w:rPr>
          <w:rFonts w:cs="Arial"/>
          <w:szCs w:val="20"/>
        </w:rPr>
      </w:pPr>
      <w:r>
        <w:rPr>
          <w:rFonts w:cs="Arial"/>
          <w:szCs w:val="20"/>
        </w:rPr>
        <w:t>12.2.</w:t>
      </w:r>
      <w:r>
        <w:rPr>
          <w:rFonts w:cs="Arial"/>
          <w:szCs w:val="20"/>
        </w:rPr>
        <w:tab/>
      </w:r>
      <w:r>
        <w:rPr>
          <w:rFonts w:cs="Arial"/>
          <w:szCs w:val="20"/>
        </w:rPr>
        <w:t xml:space="preserve">Caberá ao contratado optar por uma das seguintes modalidades de garantia: </w:t>
      </w:r>
    </w:p>
    <w:p>
      <w:pPr>
        <w:spacing w:after="0" w:line="360" w:lineRule="auto"/>
        <w:ind w:left="1416"/>
        <w:jc w:val="both"/>
        <w:rPr>
          <w:rFonts w:cs="Arial"/>
          <w:szCs w:val="20"/>
        </w:rPr>
      </w:pPr>
      <w:r>
        <w:rPr>
          <w:rFonts w:cs="Arial"/>
          <w:szCs w:val="20"/>
        </w:rPr>
        <w:t>12.2.1.</w:t>
      </w:r>
      <w:r>
        <w:rPr>
          <w:rFonts w:cs="Arial"/>
          <w:szCs w:val="20"/>
        </w:rPr>
        <w:tab/>
      </w:r>
      <w:r>
        <w:rPr>
          <w:rFonts w:cs="Arial"/>
          <w:szCs w:val="20"/>
        </w:rPr>
        <w:t xml:space="preserve">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pPr>
        <w:spacing w:after="0" w:line="360" w:lineRule="auto"/>
        <w:ind w:left="708" w:firstLine="708"/>
        <w:jc w:val="both"/>
        <w:rPr>
          <w:rFonts w:cs="Arial"/>
          <w:szCs w:val="20"/>
        </w:rPr>
      </w:pPr>
      <w:r>
        <w:rPr>
          <w:rFonts w:cs="Arial"/>
          <w:szCs w:val="20"/>
        </w:rPr>
        <w:t>12.2.2.</w:t>
      </w:r>
      <w:r>
        <w:rPr>
          <w:rFonts w:cs="Arial"/>
          <w:szCs w:val="20"/>
        </w:rPr>
        <w:tab/>
      </w:r>
      <w:r>
        <w:rPr>
          <w:rFonts w:cs="Arial"/>
          <w:szCs w:val="20"/>
        </w:rPr>
        <w:t xml:space="preserve">seguro-garantia; </w:t>
      </w:r>
    </w:p>
    <w:p>
      <w:pPr>
        <w:spacing w:after="0" w:line="360" w:lineRule="auto"/>
        <w:ind w:left="708" w:firstLine="708"/>
        <w:jc w:val="both"/>
        <w:rPr>
          <w:rFonts w:cs="Arial"/>
          <w:szCs w:val="20"/>
        </w:rPr>
      </w:pPr>
      <w:r>
        <w:rPr>
          <w:rFonts w:cs="Arial"/>
          <w:szCs w:val="20"/>
        </w:rPr>
        <w:t>12.2.3.</w:t>
      </w:r>
      <w:r>
        <w:rPr>
          <w:rFonts w:cs="Arial"/>
          <w:szCs w:val="20"/>
        </w:rPr>
        <w:tab/>
      </w:r>
      <w:r>
        <w:rPr>
          <w:rFonts w:cs="Arial"/>
          <w:szCs w:val="20"/>
        </w:rPr>
        <w:t xml:space="preserve">fiança bancária. </w:t>
      </w:r>
    </w:p>
    <w:p>
      <w:pPr>
        <w:spacing w:after="0" w:line="360" w:lineRule="auto"/>
        <w:ind w:left="708"/>
        <w:jc w:val="both"/>
        <w:rPr>
          <w:rFonts w:cs="Arial"/>
          <w:szCs w:val="20"/>
        </w:rPr>
      </w:pPr>
      <w:r>
        <w:rPr>
          <w:rFonts w:cs="Arial"/>
          <w:szCs w:val="20"/>
        </w:rPr>
        <w:t>12.3.</w:t>
      </w:r>
      <w:r>
        <w:rPr>
          <w:rFonts w:cs="Arial"/>
          <w:szCs w:val="20"/>
        </w:rPr>
        <w:tab/>
      </w:r>
      <w:r>
        <w:rPr>
          <w:rFonts w:cs="Arial"/>
          <w:szCs w:val="20"/>
        </w:rPr>
        <w:t>A garantia em dinheiro deverá ser efetuada em favor da Contratante, na Caixa Econômica Federal, com correção monetária, em favor do contratante.</w:t>
      </w:r>
    </w:p>
    <w:p>
      <w:pPr>
        <w:spacing w:after="0" w:line="360" w:lineRule="auto"/>
        <w:ind w:left="708"/>
        <w:jc w:val="both"/>
        <w:rPr>
          <w:rFonts w:cs="Arial"/>
          <w:szCs w:val="20"/>
        </w:rPr>
      </w:pPr>
      <w:r>
        <w:rPr>
          <w:rFonts w:cs="Arial"/>
          <w:szCs w:val="20"/>
        </w:rPr>
        <w:t>12.4.</w:t>
      </w:r>
      <w:r>
        <w:rPr>
          <w:rFonts w:cs="Arial"/>
          <w:szCs w:val="20"/>
        </w:rPr>
        <w:tab/>
      </w:r>
      <w:r>
        <w:rPr>
          <w:rFonts w:cs="Arial"/>
          <w:szCs w:val="20"/>
        </w:rPr>
        <w:t>No caso de alteração do valor do contrato, ou prorrogação de sua vigência, a garantia deverá ser readequada ou renovada nas mesmas condições.</w:t>
      </w:r>
    </w:p>
    <w:p>
      <w:pPr>
        <w:spacing w:after="0" w:line="360" w:lineRule="auto"/>
        <w:ind w:left="708"/>
        <w:jc w:val="both"/>
        <w:rPr>
          <w:rFonts w:cs="Arial"/>
          <w:szCs w:val="20"/>
        </w:rPr>
      </w:pPr>
      <w:r>
        <w:rPr>
          <w:rFonts w:cs="Arial"/>
          <w:szCs w:val="20"/>
        </w:rPr>
        <w:t>12.5.</w:t>
      </w:r>
      <w:r>
        <w:rPr>
          <w:rFonts w:cs="Arial"/>
          <w:szCs w:val="20"/>
        </w:rPr>
        <w:tab/>
      </w:r>
      <w:r>
        <w:rPr>
          <w:rFonts w:cs="Arial"/>
          <w:szCs w:val="20"/>
        </w:rPr>
        <w:t>Se o valor da garantia for utilizado total ou parcialmente em pagamento de qualquer obrigação, a Contratada obriga-se a fazer a respectiva reposição no prazo máximo de 5 (cinco) dias úteis, contados da data em que for notificada.</w:t>
      </w:r>
    </w:p>
    <w:p>
      <w:pPr>
        <w:spacing w:after="0" w:line="360" w:lineRule="auto"/>
        <w:ind w:left="708"/>
        <w:jc w:val="both"/>
        <w:rPr>
          <w:rFonts w:cs="Arial"/>
          <w:szCs w:val="20"/>
        </w:rPr>
      </w:pPr>
      <w:r>
        <w:rPr>
          <w:rFonts w:cs="Arial"/>
          <w:szCs w:val="20"/>
        </w:rPr>
        <w:t>12.6.</w:t>
      </w:r>
      <w:r>
        <w:rPr>
          <w:rFonts w:cs="Arial"/>
          <w:szCs w:val="20"/>
        </w:rPr>
        <w:tab/>
      </w:r>
      <w:r>
        <w:rPr>
          <w:rFonts w:cs="Arial"/>
          <w:szCs w:val="20"/>
        </w:rPr>
        <w:t xml:space="preserve">A Contratante executará a garantia na forma prevista na legislação que rege a matéria. </w:t>
      </w:r>
    </w:p>
    <w:p>
      <w:pPr>
        <w:spacing w:after="0" w:line="360" w:lineRule="auto"/>
        <w:ind w:left="567"/>
        <w:jc w:val="both"/>
        <w:rPr>
          <w:rFonts w:cs="Arial"/>
          <w:szCs w:val="20"/>
        </w:rPr>
      </w:pPr>
      <w:r>
        <w:rPr>
          <w:rFonts w:cs="Arial"/>
          <w:szCs w:val="20"/>
        </w:rPr>
        <w:t>12.7.</w:t>
      </w:r>
      <w:r>
        <w:rPr>
          <w:rFonts w:cs="Arial"/>
          <w:szCs w:val="20"/>
        </w:rPr>
        <w:tab/>
      </w:r>
      <w:r>
        <w:rPr>
          <w:rFonts w:cs="Arial"/>
          <w:szCs w:val="20"/>
        </w:rPr>
        <w:t>A garantia prestada pelo contratado será liberada ou restituída após a execução do contrato e, quando em dinheiro, atualizada monetariamente. ( artigo 56, §4º da Lei nº 8666/93).</w:t>
      </w:r>
    </w:p>
    <w:p>
      <w:pPr>
        <w:spacing w:after="0" w:line="360" w:lineRule="auto"/>
        <w:jc w:val="both"/>
        <w:rPr>
          <w:rFonts w:cs="Arial"/>
          <w:szCs w:val="20"/>
        </w:rPr>
      </w:pPr>
    </w:p>
    <w:p>
      <w:pPr>
        <w:spacing w:after="0" w:line="360" w:lineRule="auto"/>
        <w:jc w:val="both"/>
        <w:rPr>
          <w:rFonts w:cs="Arial"/>
          <w:b/>
          <w:bCs/>
          <w:szCs w:val="20"/>
        </w:rPr>
      </w:pPr>
      <w:r>
        <w:rPr>
          <w:rFonts w:cs="Arial"/>
          <w:b/>
          <w:bCs/>
          <w:szCs w:val="20"/>
        </w:rPr>
        <w:t>13.</w:t>
      </w:r>
      <w:r>
        <w:rPr>
          <w:rFonts w:cs="Arial"/>
          <w:b/>
          <w:bCs/>
          <w:szCs w:val="20"/>
        </w:rPr>
        <w:tab/>
      </w:r>
      <w:r>
        <w:rPr>
          <w:rFonts w:cs="Arial"/>
          <w:b/>
          <w:bCs/>
          <w:szCs w:val="20"/>
        </w:rPr>
        <w:t>DAS SANÇÕES ADMINISTRATIVAS</w:t>
      </w:r>
    </w:p>
    <w:p>
      <w:pPr>
        <w:spacing w:after="0" w:line="360" w:lineRule="auto"/>
        <w:ind w:left="708"/>
        <w:jc w:val="both"/>
        <w:rPr>
          <w:rFonts w:cs="Arial"/>
          <w:szCs w:val="20"/>
        </w:rPr>
      </w:pPr>
      <w:r>
        <w:rPr>
          <w:rFonts w:cs="Arial"/>
          <w:szCs w:val="20"/>
        </w:rPr>
        <w:t>13.1.</w:t>
      </w:r>
      <w:r>
        <w:rPr>
          <w:rFonts w:cs="Arial"/>
          <w:szCs w:val="20"/>
        </w:rPr>
        <w:tab/>
      </w:r>
      <w:r>
        <w:rPr>
          <w:rFonts w:cs="Arial"/>
          <w:szCs w:val="20"/>
        </w:rPr>
        <w:t>Comete infração administrativa nos termos da Lei nº 10.520, de 2002, a Contratada que:</w:t>
      </w:r>
    </w:p>
    <w:p>
      <w:pPr>
        <w:spacing w:after="0" w:line="360" w:lineRule="auto"/>
        <w:ind w:left="1416"/>
        <w:jc w:val="both"/>
        <w:rPr>
          <w:rFonts w:cs="Arial"/>
          <w:szCs w:val="20"/>
        </w:rPr>
      </w:pPr>
      <w:r>
        <w:rPr>
          <w:rFonts w:cs="Arial"/>
          <w:szCs w:val="20"/>
        </w:rPr>
        <w:t>13.1.1.</w:t>
      </w:r>
      <w:r>
        <w:rPr>
          <w:rFonts w:cs="Arial"/>
          <w:szCs w:val="20"/>
        </w:rPr>
        <w:tab/>
      </w:r>
      <w:r>
        <w:rPr>
          <w:rFonts w:cs="Arial"/>
          <w:szCs w:val="20"/>
        </w:rPr>
        <w:t>inexecutar total ou parcialmente qualquer das obrigações assumidas em decorrência da contratação;</w:t>
      </w:r>
    </w:p>
    <w:p>
      <w:pPr>
        <w:spacing w:after="0" w:line="360" w:lineRule="auto"/>
        <w:ind w:left="708" w:firstLine="708"/>
        <w:jc w:val="both"/>
        <w:rPr>
          <w:rFonts w:cs="Arial"/>
          <w:szCs w:val="20"/>
        </w:rPr>
      </w:pPr>
      <w:r>
        <w:rPr>
          <w:rFonts w:cs="Arial"/>
          <w:szCs w:val="20"/>
        </w:rPr>
        <w:t>13.1.2.</w:t>
      </w:r>
      <w:r>
        <w:rPr>
          <w:rFonts w:cs="Arial"/>
          <w:szCs w:val="20"/>
        </w:rPr>
        <w:tab/>
      </w:r>
      <w:r>
        <w:rPr>
          <w:rFonts w:cs="Arial"/>
          <w:szCs w:val="20"/>
        </w:rPr>
        <w:t>ensejar o retardamento da execução do objeto;</w:t>
      </w:r>
    </w:p>
    <w:p>
      <w:pPr>
        <w:spacing w:after="0" w:line="360" w:lineRule="auto"/>
        <w:ind w:left="708" w:firstLine="708"/>
        <w:jc w:val="both"/>
        <w:rPr>
          <w:rFonts w:cs="Arial"/>
          <w:szCs w:val="20"/>
        </w:rPr>
      </w:pPr>
      <w:r>
        <w:rPr>
          <w:rFonts w:cs="Arial"/>
          <w:szCs w:val="20"/>
        </w:rPr>
        <w:t>13.1.3.</w:t>
      </w:r>
      <w:r>
        <w:rPr>
          <w:rFonts w:cs="Arial"/>
          <w:szCs w:val="20"/>
        </w:rPr>
        <w:tab/>
      </w:r>
      <w:r>
        <w:rPr>
          <w:rFonts w:cs="Arial"/>
          <w:szCs w:val="20"/>
        </w:rPr>
        <w:t>falhar ou fraudar na execução do contrato;</w:t>
      </w:r>
    </w:p>
    <w:p>
      <w:pPr>
        <w:spacing w:after="0" w:line="360" w:lineRule="auto"/>
        <w:ind w:left="708" w:firstLine="708"/>
        <w:jc w:val="both"/>
        <w:rPr>
          <w:rFonts w:cs="Arial"/>
          <w:szCs w:val="20"/>
        </w:rPr>
      </w:pPr>
      <w:r>
        <w:rPr>
          <w:rFonts w:cs="Arial"/>
          <w:szCs w:val="20"/>
        </w:rPr>
        <w:t>13.1.4.</w:t>
      </w:r>
      <w:r>
        <w:rPr>
          <w:rFonts w:cs="Arial"/>
          <w:szCs w:val="20"/>
        </w:rPr>
        <w:tab/>
      </w:r>
      <w:r>
        <w:rPr>
          <w:rFonts w:cs="Arial"/>
          <w:szCs w:val="20"/>
        </w:rPr>
        <w:t>comportar-se de modo inidôneo;</w:t>
      </w:r>
    </w:p>
    <w:p>
      <w:pPr>
        <w:spacing w:after="0" w:line="360" w:lineRule="auto"/>
        <w:ind w:left="708" w:firstLine="708"/>
        <w:jc w:val="both"/>
        <w:rPr>
          <w:rFonts w:cs="Arial"/>
          <w:szCs w:val="20"/>
        </w:rPr>
      </w:pPr>
      <w:r>
        <w:rPr>
          <w:rFonts w:cs="Arial"/>
          <w:szCs w:val="20"/>
        </w:rPr>
        <w:t>13.1.5.</w:t>
      </w:r>
      <w:r>
        <w:rPr>
          <w:rFonts w:cs="Arial"/>
          <w:szCs w:val="20"/>
        </w:rPr>
        <w:tab/>
      </w:r>
      <w:r>
        <w:rPr>
          <w:rFonts w:cs="Arial"/>
          <w:szCs w:val="20"/>
        </w:rPr>
        <w:t>cometer fraude fiscal;</w:t>
      </w:r>
    </w:p>
    <w:p>
      <w:pPr>
        <w:spacing w:after="0" w:line="360" w:lineRule="auto"/>
        <w:ind w:left="708"/>
        <w:jc w:val="both"/>
        <w:rPr>
          <w:rFonts w:cs="Arial"/>
          <w:szCs w:val="20"/>
        </w:rPr>
      </w:pPr>
      <w:r>
        <w:rPr>
          <w:rFonts w:cs="Arial"/>
          <w:szCs w:val="20"/>
        </w:rPr>
        <w:t>13.2.</w:t>
      </w:r>
      <w:r>
        <w:rPr>
          <w:rFonts w:cs="Arial"/>
          <w:szCs w:val="20"/>
        </w:rPr>
        <w:tab/>
      </w:r>
      <w:r>
        <w:rPr>
          <w:rFonts w:cs="Arial"/>
          <w:szCs w:val="20"/>
        </w:rPr>
        <w:t>Pela inexecução total ou parcial do objeto deste contrato, a Administração pode aplicar à CONTRATADA as seguintes sanções:</w:t>
      </w:r>
    </w:p>
    <w:p>
      <w:pPr>
        <w:spacing w:after="0" w:line="360" w:lineRule="auto"/>
        <w:ind w:left="1416"/>
        <w:jc w:val="both"/>
        <w:rPr>
          <w:rFonts w:cs="Arial"/>
          <w:szCs w:val="20"/>
        </w:rPr>
      </w:pPr>
      <w:r>
        <w:rPr>
          <w:rFonts w:cs="Arial"/>
          <w:szCs w:val="20"/>
        </w:rPr>
        <w:t>13.2.1.</w:t>
      </w:r>
      <w:r>
        <w:rPr>
          <w:rFonts w:cs="Arial"/>
          <w:szCs w:val="20"/>
        </w:rPr>
        <w:tab/>
      </w:r>
      <w:r>
        <w:rPr>
          <w:rFonts w:cs="Arial"/>
          <w:szCs w:val="20"/>
        </w:rPr>
        <w:t>Advertência, por faltas leves, assim entendidas aquelas que não acarretem prejuízos significativos para a Contratante;</w:t>
      </w:r>
    </w:p>
    <w:p>
      <w:pPr>
        <w:spacing w:after="0" w:line="360" w:lineRule="auto"/>
        <w:ind w:left="1416"/>
        <w:jc w:val="both"/>
        <w:rPr>
          <w:rFonts w:cs="Arial"/>
          <w:szCs w:val="20"/>
        </w:rPr>
      </w:pPr>
      <w:r>
        <w:rPr>
          <w:rFonts w:cs="Arial"/>
          <w:szCs w:val="20"/>
        </w:rPr>
        <w:t>13.2.2.</w:t>
      </w:r>
      <w:r>
        <w:rPr>
          <w:rFonts w:cs="Arial"/>
          <w:szCs w:val="20"/>
        </w:rPr>
        <w:tab/>
      </w:r>
      <w:r>
        <w:rPr>
          <w:rFonts w:cs="Arial"/>
          <w:szCs w:val="20"/>
        </w:rPr>
        <w:t>multa moratória de 0,10% (um décimo por cento) por dia de atraso injustificado sobre o valor da parcela inadimplida, até o limite de 30 (trinta) dias;</w:t>
      </w:r>
    </w:p>
    <w:p>
      <w:pPr>
        <w:spacing w:after="0" w:line="360" w:lineRule="auto"/>
        <w:ind w:left="1416"/>
        <w:jc w:val="both"/>
        <w:rPr>
          <w:rFonts w:cs="Arial"/>
          <w:szCs w:val="20"/>
        </w:rPr>
      </w:pPr>
      <w:r>
        <w:rPr>
          <w:rFonts w:cs="Arial"/>
          <w:szCs w:val="20"/>
        </w:rPr>
        <w:t>13.2.3.</w:t>
      </w:r>
      <w:r>
        <w:rPr>
          <w:rFonts w:cs="Arial"/>
          <w:szCs w:val="20"/>
        </w:rPr>
        <w:tab/>
      </w:r>
      <w:r>
        <w:rPr>
          <w:rFonts w:cs="Arial"/>
          <w:szCs w:val="20"/>
        </w:rPr>
        <w:t>multa compensatória de 10% (dez por cento) sobre o valor total do contrato, no caso de inexecução total do objeto;</w:t>
      </w:r>
    </w:p>
    <w:p>
      <w:pPr>
        <w:spacing w:after="0" w:line="360" w:lineRule="auto"/>
        <w:ind w:left="1416"/>
        <w:jc w:val="both"/>
        <w:rPr>
          <w:rFonts w:cs="Arial"/>
          <w:szCs w:val="20"/>
        </w:rPr>
      </w:pPr>
      <w:r>
        <w:rPr>
          <w:rFonts w:cs="Arial"/>
          <w:szCs w:val="20"/>
        </w:rPr>
        <w:t>13.2.4.</w:t>
      </w:r>
      <w:r>
        <w:rPr>
          <w:rFonts w:cs="Arial"/>
          <w:szCs w:val="20"/>
        </w:rPr>
        <w:tab/>
      </w:r>
      <w:r>
        <w:rPr>
          <w:rFonts w:cs="Arial"/>
          <w:szCs w:val="20"/>
        </w:rPr>
        <w:t>em caso de inexecução parcial, a multa compensatória, no mesmo percentual do subitem acima, será aplicada de forma proporcional à obrigação inadimplida;</w:t>
      </w:r>
    </w:p>
    <w:p>
      <w:pPr>
        <w:spacing w:after="0" w:line="360" w:lineRule="auto"/>
        <w:ind w:left="1416"/>
        <w:jc w:val="both"/>
        <w:rPr>
          <w:rFonts w:cs="Arial"/>
          <w:szCs w:val="20"/>
        </w:rPr>
      </w:pPr>
      <w:r>
        <w:rPr>
          <w:rFonts w:cs="Arial"/>
          <w:szCs w:val="20"/>
        </w:rPr>
        <w:t>13.2.5.</w:t>
      </w:r>
      <w:r>
        <w:rPr>
          <w:rFonts w:cs="Arial"/>
          <w:szCs w:val="20"/>
        </w:rPr>
        <w:tab/>
      </w:r>
      <w:r>
        <w:rPr>
          <w:rFonts w:cs="Arial"/>
          <w:szCs w:val="20"/>
        </w:rPr>
        <w:t xml:space="preserve">suspensão de licitar e impedimento de contratar com o órgão, entidade ou unidade administrativa pela qual a Administração Pública opera e atua concretamente, pelo prazo de até dois anos; </w:t>
      </w:r>
    </w:p>
    <w:p>
      <w:pPr>
        <w:spacing w:after="0" w:line="360" w:lineRule="auto"/>
        <w:ind w:left="1416"/>
        <w:jc w:val="both"/>
        <w:rPr>
          <w:rFonts w:cs="Arial"/>
          <w:szCs w:val="20"/>
        </w:rPr>
      </w:pPr>
      <w:r>
        <w:rPr>
          <w:rFonts w:cs="Arial"/>
          <w:szCs w:val="20"/>
        </w:rPr>
        <w:t>13.2.6.</w:t>
      </w:r>
      <w:r>
        <w:rPr>
          <w:rFonts w:cs="Arial"/>
          <w:szCs w:val="20"/>
        </w:rPr>
        <w:tab/>
      </w:r>
      <w:r>
        <w:rPr>
          <w:rFonts w:cs="Arial"/>
          <w:szCs w:val="20"/>
        </w:rPr>
        <w:t>impedimento de licitar e contratar com órgãos e entidades da União com o consequente descredenciamento no SICAF pelo prazo de até cinco anos;</w:t>
      </w:r>
    </w:p>
    <w:p>
      <w:pPr>
        <w:spacing w:after="0" w:line="360" w:lineRule="auto"/>
        <w:ind w:left="2124"/>
        <w:jc w:val="both"/>
        <w:rPr>
          <w:rFonts w:cs="Arial"/>
          <w:szCs w:val="20"/>
        </w:rPr>
      </w:pPr>
      <w:r>
        <w:rPr>
          <w:rFonts w:cs="Arial"/>
          <w:szCs w:val="20"/>
        </w:rPr>
        <w:t>13.2.6.1.</w:t>
      </w:r>
      <w:r>
        <w:rPr>
          <w:rFonts w:cs="Arial"/>
          <w:szCs w:val="20"/>
        </w:rPr>
        <w:tab/>
      </w:r>
      <w:r>
        <w:rPr>
          <w:rFonts w:cs="Arial"/>
          <w:szCs w:val="20"/>
        </w:rPr>
        <w:t>A Sanção de impedimento de licitar e contratar prevista neste subitem também é aplicável em quaisquer das hipóteses previstas como infração administrativa no subitem 13.1 deste Termo de Referência.</w:t>
      </w:r>
    </w:p>
    <w:p>
      <w:pPr>
        <w:spacing w:after="0" w:line="360" w:lineRule="auto"/>
        <w:ind w:left="1416"/>
        <w:jc w:val="both"/>
        <w:rPr>
          <w:rFonts w:cs="Arial"/>
          <w:szCs w:val="20"/>
        </w:rPr>
      </w:pPr>
      <w:r>
        <w:rPr>
          <w:rFonts w:cs="Arial"/>
          <w:szCs w:val="20"/>
        </w:rPr>
        <w:t>13.2.7.</w:t>
      </w:r>
      <w:r>
        <w:rPr>
          <w:rFonts w:cs="Arial"/>
          <w:szCs w:val="20"/>
        </w:rPr>
        <w:tab/>
      </w: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spacing w:after="0" w:line="360" w:lineRule="auto"/>
        <w:ind w:left="708"/>
        <w:jc w:val="both"/>
        <w:rPr>
          <w:rFonts w:cs="Arial"/>
          <w:szCs w:val="20"/>
        </w:rPr>
      </w:pPr>
      <w:r>
        <w:rPr>
          <w:rFonts w:cs="Arial"/>
          <w:szCs w:val="20"/>
        </w:rPr>
        <w:t>13.3.</w:t>
      </w:r>
      <w:r>
        <w:rPr>
          <w:rFonts w:cs="Arial"/>
          <w:szCs w:val="20"/>
        </w:rPr>
        <w:tab/>
      </w:r>
      <w:r>
        <w:rPr>
          <w:rFonts w:cs="Arial"/>
          <w:szCs w:val="20"/>
        </w:rPr>
        <w:t>As sanções previstas nos subitens 13.2.1, 13.2.5, 13.2.6 e 13.2.7 poderão ser aplicadas à CONTRATADA juntamente com as de multa, descontando-a dos pagamentos a serem efetuados.</w:t>
      </w:r>
    </w:p>
    <w:p>
      <w:pPr>
        <w:spacing w:after="0" w:line="360" w:lineRule="auto"/>
        <w:ind w:left="708"/>
        <w:jc w:val="both"/>
        <w:rPr>
          <w:rFonts w:cs="Arial"/>
          <w:szCs w:val="20"/>
        </w:rPr>
      </w:pPr>
      <w:r>
        <w:rPr>
          <w:rFonts w:cs="Arial"/>
          <w:szCs w:val="20"/>
        </w:rPr>
        <w:t>13.4.</w:t>
      </w:r>
      <w:r>
        <w:rPr>
          <w:rFonts w:cs="Arial"/>
          <w:szCs w:val="20"/>
        </w:rPr>
        <w:tab/>
      </w:r>
      <w:r>
        <w:rPr>
          <w:rFonts w:cs="Arial"/>
          <w:szCs w:val="20"/>
        </w:rPr>
        <w:t>Também ficam sujeitas às penalidades do art. 87, III e IV da Lei nº 8.666, de 1993, as empresas ou profissionais que:</w:t>
      </w:r>
    </w:p>
    <w:p>
      <w:pPr>
        <w:spacing w:after="0" w:line="360" w:lineRule="auto"/>
        <w:ind w:left="1416"/>
        <w:jc w:val="both"/>
        <w:rPr>
          <w:rFonts w:cs="Arial"/>
          <w:szCs w:val="20"/>
        </w:rPr>
      </w:pPr>
      <w:r>
        <w:rPr>
          <w:rFonts w:cs="Arial"/>
          <w:szCs w:val="20"/>
        </w:rPr>
        <w:t>13.4.1.</w:t>
      </w:r>
      <w:r>
        <w:rPr>
          <w:rFonts w:cs="Arial"/>
          <w:szCs w:val="20"/>
        </w:rPr>
        <w:tab/>
      </w:r>
      <w:r>
        <w:rPr>
          <w:rFonts w:cs="Arial"/>
          <w:szCs w:val="20"/>
        </w:rPr>
        <w:t>tenham sofrido condenação definitiva por praticar, por meio dolosos, fraude fiscal no recolhimento de quaisquer tributos;</w:t>
      </w:r>
    </w:p>
    <w:p>
      <w:pPr>
        <w:spacing w:after="0" w:line="360" w:lineRule="auto"/>
        <w:ind w:left="708" w:firstLine="708"/>
        <w:jc w:val="both"/>
        <w:rPr>
          <w:rFonts w:cs="Arial"/>
          <w:szCs w:val="20"/>
        </w:rPr>
      </w:pPr>
      <w:r>
        <w:rPr>
          <w:rFonts w:cs="Arial"/>
          <w:szCs w:val="20"/>
        </w:rPr>
        <w:t>13.4.2.</w:t>
      </w:r>
      <w:r>
        <w:rPr>
          <w:rFonts w:cs="Arial"/>
          <w:szCs w:val="20"/>
        </w:rPr>
        <w:tab/>
      </w:r>
      <w:r>
        <w:rPr>
          <w:rFonts w:cs="Arial"/>
          <w:szCs w:val="20"/>
        </w:rPr>
        <w:t>tenham praticado atos ilícitos visando a frustrar os objetivos da licitação;</w:t>
      </w:r>
    </w:p>
    <w:p>
      <w:pPr>
        <w:spacing w:after="0" w:line="360" w:lineRule="auto"/>
        <w:ind w:left="1416"/>
        <w:jc w:val="both"/>
        <w:rPr>
          <w:rFonts w:cs="Arial"/>
          <w:szCs w:val="20"/>
        </w:rPr>
      </w:pPr>
      <w:r>
        <w:rPr>
          <w:rFonts w:cs="Arial"/>
          <w:szCs w:val="20"/>
        </w:rPr>
        <w:t>13.4.3.</w:t>
      </w:r>
      <w:r>
        <w:rPr>
          <w:rFonts w:cs="Arial"/>
          <w:szCs w:val="20"/>
        </w:rPr>
        <w:tab/>
      </w:r>
      <w:r>
        <w:rPr>
          <w:rFonts w:cs="Arial"/>
          <w:szCs w:val="20"/>
        </w:rPr>
        <w:t>demonstrem não possuir idoneidade para contratar com a Administração em virtude de atos ilícitos praticados.</w:t>
      </w:r>
    </w:p>
    <w:p>
      <w:pPr>
        <w:spacing w:after="0" w:line="360" w:lineRule="auto"/>
        <w:ind w:left="708"/>
        <w:jc w:val="both"/>
        <w:rPr>
          <w:rFonts w:cs="Arial"/>
          <w:szCs w:val="20"/>
        </w:rPr>
      </w:pPr>
      <w:r>
        <w:rPr>
          <w:rFonts w:cs="Arial"/>
          <w:szCs w:val="20"/>
        </w:rPr>
        <w:t>13.5.</w:t>
      </w:r>
      <w:r>
        <w:rPr>
          <w:rFonts w:cs="Arial"/>
          <w:szCs w:val="20"/>
        </w:rPr>
        <w:tab/>
      </w: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spacing w:after="0" w:line="360" w:lineRule="auto"/>
        <w:ind w:left="708"/>
        <w:jc w:val="both"/>
        <w:rPr>
          <w:rFonts w:cs="Arial"/>
          <w:szCs w:val="20"/>
        </w:rPr>
      </w:pPr>
      <w:r>
        <w:rPr>
          <w:rFonts w:cs="Arial"/>
          <w:szCs w:val="20"/>
        </w:rPr>
        <w:t>13.6.</w:t>
      </w:r>
      <w:r>
        <w:rPr>
          <w:rFonts w:cs="Arial"/>
          <w:szCs w:val="20"/>
        </w:rPr>
        <w:tab/>
      </w:r>
      <w:r>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spacing w:after="0" w:line="360" w:lineRule="auto"/>
        <w:ind w:left="1416"/>
        <w:jc w:val="both"/>
        <w:rPr>
          <w:rFonts w:cs="Arial"/>
          <w:szCs w:val="20"/>
        </w:rPr>
      </w:pPr>
      <w:r>
        <w:rPr>
          <w:rFonts w:cs="Arial"/>
          <w:szCs w:val="20"/>
        </w:rPr>
        <w:t>13.6.1.</w:t>
      </w:r>
      <w:r>
        <w:rPr>
          <w:rFonts w:cs="Arial"/>
          <w:szCs w:val="20"/>
        </w:rPr>
        <w:tab/>
      </w:r>
      <w:r>
        <w:rPr>
          <w:rFonts w:cs="Arial"/>
          <w:szCs w:val="20"/>
        </w:rPr>
        <w:t>Caso a Contratante determine, a multa deverá ser recolhida no prazo máximo de 5 (cinco) dias, a contar da data do recebimento da comunicação enviada pela autoridade competente.</w:t>
      </w:r>
    </w:p>
    <w:p>
      <w:pPr>
        <w:spacing w:after="0" w:line="360" w:lineRule="auto"/>
        <w:ind w:left="708"/>
        <w:jc w:val="both"/>
        <w:rPr>
          <w:rFonts w:cs="Arial"/>
          <w:szCs w:val="20"/>
        </w:rPr>
      </w:pPr>
      <w:r>
        <w:rPr>
          <w:rFonts w:cs="Arial"/>
          <w:szCs w:val="20"/>
        </w:rPr>
        <w:t>13.7.</w:t>
      </w:r>
      <w:r>
        <w:rPr>
          <w:rFonts w:cs="Arial"/>
          <w:szCs w:val="20"/>
        </w:rPr>
        <w:tab/>
      </w:r>
      <w:r>
        <w:rPr>
          <w:rFonts w:cs="Arial"/>
          <w:szCs w:val="20"/>
        </w:rPr>
        <w:t>Caso o valor da multa não seja suficiente para cobrir os prejuízos causados pela conduta do licitante, a União ou Entidade poderá cobrar o valor remanescente judicialmente, conforme artigo 419 do Código Civil.</w:t>
      </w:r>
    </w:p>
    <w:p>
      <w:pPr>
        <w:spacing w:after="0" w:line="360" w:lineRule="auto"/>
        <w:ind w:left="708"/>
        <w:jc w:val="both"/>
        <w:rPr>
          <w:rFonts w:cs="Arial"/>
          <w:szCs w:val="20"/>
        </w:rPr>
      </w:pPr>
      <w:r>
        <w:rPr>
          <w:rFonts w:cs="Arial"/>
          <w:szCs w:val="20"/>
        </w:rPr>
        <w:t>13.8.</w:t>
      </w:r>
      <w:r>
        <w:rPr>
          <w:rFonts w:cs="Arial"/>
          <w:szCs w:val="20"/>
        </w:rPr>
        <w:tab/>
      </w:r>
      <w:r>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pPr>
        <w:spacing w:after="0" w:line="360" w:lineRule="auto"/>
        <w:ind w:left="708"/>
        <w:jc w:val="both"/>
        <w:rPr>
          <w:rFonts w:cs="Arial"/>
          <w:szCs w:val="20"/>
        </w:rPr>
      </w:pPr>
      <w:r>
        <w:rPr>
          <w:rFonts w:cs="Arial"/>
          <w:szCs w:val="20"/>
        </w:rPr>
        <w:t>13.9.</w:t>
      </w:r>
      <w:r>
        <w:rPr>
          <w:rFonts w:cs="Arial"/>
          <w:szCs w:val="20"/>
        </w:rPr>
        <w:tab/>
      </w:r>
      <w:r>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spacing w:after="0" w:line="360" w:lineRule="auto"/>
        <w:ind w:left="708"/>
        <w:jc w:val="both"/>
        <w:rPr>
          <w:rFonts w:cs="Arial"/>
          <w:szCs w:val="20"/>
        </w:rPr>
      </w:pPr>
      <w:r>
        <w:rPr>
          <w:rFonts w:cs="Arial"/>
          <w:szCs w:val="20"/>
        </w:rPr>
        <w:t>13.10.</w:t>
      </w:r>
      <w:r>
        <w:rPr>
          <w:rFonts w:cs="Arial"/>
          <w:szCs w:val="20"/>
        </w:rPr>
        <w:tab/>
      </w:r>
      <w:r>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spacing w:after="0" w:line="360" w:lineRule="auto"/>
        <w:ind w:left="708"/>
        <w:jc w:val="both"/>
        <w:rPr>
          <w:rFonts w:cs="Arial"/>
          <w:szCs w:val="20"/>
        </w:rPr>
      </w:pPr>
      <w:r>
        <w:rPr>
          <w:rFonts w:cs="Arial"/>
          <w:szCs w:val="20"/>
        </w:rPr>
        <w:t>13.11.</w:t>
      </w:r>
      <w:r>
        <w:rPr>
          <w:rFonts w:cs="Arial"/>
          <w:szCs w:val="20"/>
        </w:rPr>
        <w:tab/>
      </w:r>
      <w:r>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spacing w:after="0" w:line="360" w:lineRule="auto"/>
        <w:ind w:firstLine="708"/>
        <w:jc w:val="both"/>
        <w:rPr>
          <w:rFonts w:cs="Arial"/>
          <w:szCs w:val="20"/>
        </w:rPr>
      </w:pPr>
      <w:r>
        <w:rPr>
          <w:rFonts w:cs="Arial"/>
          <w:szCs w:val="20"/>
        </w:rPr>
        <w:t>13.12.</w:t>
      </w:r>
      <w:r>
        <w:rPr>
          <w:rFonts w:cs="Arial"/>
          <w:szCs w:val="20"/>
        </w:rPr>
        <w:tab/>
      </w:r>
      <w:r>
        <w:rPr>
          <w:rFonts w:cs="Arial"/>
          <w:szCs w:val="20"/>
        </w:rPr>
        <w:t>As penalidades serão obrigatoriamente registradas no SICAF.</w:t>
      </w:r>
    </w:p>
    <w:p>
      <w:pPr>
        <w:spacing w:after="0" w:line="360" w:lineRule="auto"/>
        <w:jc w:val="both"/>
        <w:rPr>
          <w:rFonts w:cs="Arial"/>
          <w:szCs w:val="20"/>
        </w:rPr>
      </w:pPr>
    </w:p>
    <w:p>
      <w:pPr>
        <w:spacing w:after="0" w:line="360" w:lineRule="auto"/>
        <w:jc w:val="both"/>
        <w:rPr>
          <w:rFonts w:cs="Arial"/>
          <w:b/>
          <w:bCs/>
          <w:szCs w:val="20"/>
        </w:rPr>
      </w:pPr>
      <w:r>
        <w:rPr>
          <w:rFonts w:cs="Arial"/>
          <w:b/>
          <w:bCs/>
          <w:szCs w:val="20"/>
        </w:rPr>
        <w:t>14.</w:t>
      </w:r>
      <w:r>
        <w:rPr>
          <w:rFonts w:cs="Arial"/>
          <w:b/>
          <w:bCs/>
          <w:szCs w:val="20"/>
        </w:rPr>
        <w:tab/>
      </w:r>
      <w:r>
        <w:rPr>
          <w:rFonts w:cs="Arial"/>
          <w:b/>
          <w:bCs/>
          <w:szCs w:val="20"/>
        </w:rPr>
        <w:t>ESTIMATIVA DE PREÇOS E PREÇOS REFERENCIAIS.</w:t>
      </w:r>
    </w:p>
    <w:p>
      <w:pPr>
        <w:spacing w:after="0" w:line="360" w:lineRule="auto"/>
        <w:jc w:val="both"/>
        <w:rPr>
          <w:rFonts w:cs="Arial"/>
          <w:b/>
          <w:bCs/>
          <w:szCs w:val="20"/>
        </w:rPr>
      </w:pPr>
    </w:p>
    <w:p>
      <w:pPr>
        <w:spacing w:after="0" w:line="360" w:lineRule="auto"/>
        <w:ind w:left="705"/>
        <w:jc w:val="both"/>
        <w:rPr>
          <w:rFonts w:cs="Arial"/>
          <w:szCs w:val="20"/>
        </w:rPr>
      </w:pPr>
      <w:r>
        <w:rPr>
          <w:rFonts w:cs="Arial"/>
          <w:szCs w:val="20"/>
        </w:rPr>
        <w:t>14.1. O custo estimado da contratação é de R$ 214.178,66 (duzentos e quatorze mil, cento e setenta e oito reais e sessenta e seis centavos).</w:t>
      </w:r>
    </w:p>
    <w:p>
      <w:pPr>
        <w:spacing w:after="0" w:line="360" w:lineRule="auto"/>
        <w:jc w:val="both"/>
        <w:rPr>
          <w:rFonts w:cs="Arial"/>
          <w:szCs w:val="20"/>
        </w:rPr>
      </w:pPr>
    </w:p>
    <w:p>
      <w:pPr>
        <w:spacing w:after="0" w:line="360" w:lineRule="auto"/>
        <w:jc w:val="both"/>
        <w:rPr>
          <w:rFonts w:cs="Arial"/>
          <w:b/>
          <w:bCs/>
          <w:szCs w:val="20"/>
        </w:rPr>
      </w:pPr>
      <w:r>
        <w:rPr>
          <w:rFonts w:cs="Arial"/>
          <w:b/>
          <w:bCs/>
          <w:szCs w:val="20"/>
        </w:rPr>
        <w:t>15.</w:t>
      </w:r>
      <w:r>
        <w:rPr>
          <w:rFonts w:cs="Arial"/>
          <w:b/>
          <w:bCs/>
          <w:szCs w:val="20"/>
        </w:rPr>
        <w:tab/>
      </w:r>
      <w:r>
        <w:rPr>
          <w:rFonts w:cs="Arial"/>
          <w:b/>
          <w:bCs/>
          <w:szCs w:val="20"/>
        </w:rPr>
        <w:t>DOS RECURSOS ORÇAMENTÁRIOS.</w:t>
      </w:r>
    </w:p>
    <w:p>
      <w:pPr>
        <w:spacing w:after="0" w:line="360" w:lineRule="auto"/>
        <w:jc w:val="both"/>
        <w:rPr>
          <w:rFonts w:cs="Arial"/>
          <w:b/>
          <w:bCs/>
          <w:szCs w:val="20"/>
        </w:rPr>
      </w:pPr>
    </w:p>
    <w:p>
      <w:pPr>
        <w:spacing w:after="0" w:line="360" w:lineRule="auto"/>
        <w:ind w:left="705"/>
        <w:jc w:val="both"/>
        <w:rPr>
          <w:rFonts w:cs="Arial"/>
          <w:szCs w:val="20"/>
        </w:rPr>
      </w:pPr>
      <w:r>
        <w:rPr>
          <w:rFonts w:cs="Arial"/>
          <w:szCs w:val="20"/>
        </w:rPr>
        <w:t>15.1. As despesas para atender a esta licitação estão programadas em dotação orçamentária própria, prevista no orçamento da União para o exercício de 2020, na classificação abaixo:</w:t>
      </w:r>
    </w:p>
    <w:p>
      <w:pPr>
        <w:pStyle w:val="17"/>
        <w:numPr>
          <w:ilvl w:val="0"/>
          <w:numId w:val="6"/>
        </w:numPr>
        <w:spacing w:after="0" w:line="360" w:lineRule="auto"/>
        <w:jc w:val="both"/>
        <w:rPr>
          <w:rFonts w:cs="Arial"/>
          <w:szCs w:val="20"/>
        </w:rPr>
      </w:pPr>
      <w:r>
        <w:rPr>
          <w:rFonts w:cs="Arial"/>
          <w:szCs w:val="20"/>
        </w:rPr>
        <w:t>Unidade Orçamentária: 158469 – IFPB – Campus João Pessoa;</w:t>
      </w:r>
    </w:p>
    <w:p>
      <w:pPr>
        <w:pStyle w:val="17"/>
        <w:numPr>
          <w:ilvl w:val="0"/>
          <w:numId w:val="6"/>
        </w:numPr>
        <w:spacing w:after="0" w:line="360" w:lineRule="auto"/>
        <w:jc w:val="both"/>
        <w:rPr>
          <w:rFonts w:cs="Arial"/>
          <w:szCs w:val="20"/>
        </w:rPr>
      </w:pPr>
      <w:r>
        <w:rPr>
          <w:rFonts w:cs="Arial"/>
          <w:szCs w:val="20"/>
        </w:rPr>
        <w:t>Programa de Trabalho: 12.363.5012.20RL.0025 – Funcionamento das Instituições da Rede Federal de Educação Profissional, Científica e Tecnológica – No Estado da Paraíba;</w:t>
      </w:r>
    </w:p>
    <w:p>
      <w:pPr>
        <w:pStyle w:val="17"/>
        <w:numPr>
          <w:ilvl w:val="0"/>
          <w:numId w:val="6"/>
        </w:numPr>
        <w:spacing w:after="0" w:line="360" w:lineRule="auto"/>
        <w:jc w:val="both"/>
        <w:rPr>
          <w:rFonts w:cs="Arial"/>
          <w:szCs w:val="20"/>
        </w:rPr>
      </w:pPr>
      <w:r>
        <w:rPr>
          <w:rFonts w:cs="Arial"/>
          <w:szCs w:val="20"/>
        </w:rPr>
        <w:t>Natureza de Despesa: 44.90.51.92 – Instalações</w:t>
      </w:r>
    </w:p>
    <w:p>
      <w:pPr>
        <w:pStyle w:val="17"/>
        <w:numPr>
          <w:ilvl w:val="0"/>
          <w:numId w:val="6"/>
        </w:numPr>
        <w:spacing w:after="0" w:line="360" w:lineRule="auto"/>
        <w:jc w:val="both"/>
        <w:rPr>
          <w:rFonts w:cs="Arial"/>
          <w:szCs w:val="20"/>
        </w:rPr>
      </w:pPr>
      <w:r>
        <w:rPr>
          <w:rFonts w:cs="Arial"/>
          <w:szCs w:val="20"/>
        </w:rPr>
        <w:t>Plano Interno: L.0000.P.99.00.N – Despesas não classificáveis nos demais planos internos ligados ao ensino profissional e tecnológico;</w:t>
      </w:r>
    </w:p>
    <w:p>
      <w:pPr>
        <w:pStyle w:val="17"/>
        <w:numPr>
          <w:ilvl w:val="0"/>
          <w:numId w:val="6"/>
        </w:numPr>
        <w:spacing w:after="0" w:line="360" w:lineRule="auto"/>
        <w:jc w:val="both"/>
        <w:rPr>
          <w:rFonts w:cs="Arial"/>
          <w:szCs w:val="20"/>
        </w:rPr>
      </w:pPr>
      <w:r>
        <w:rPr>
          <w:rFonts w:cs="Arial"/>
          <w:szCs w:val="20"/>
        </w:rPr>
        <w:t>Valor: R$ R$ 214.178,66 (duzentos e quatorze mil, cento e setenta e oito reais e sessenta e seis centavos).</w:t>
      </w:r>
    </w:p>
    <w:p>
      <w:pPr>
        <w:spacing w:line="360" w:lineRule="auto"/>
        <w:ind w:left="425"/>
        <w:jc w:val="both"/>
        <w:rPr>
          <w:rFonts w:cs="Arial"/>
          <w:i/>
          <w:color w:val="000000" w:themeColor="text1"/>
          <w:szCs w:val="20"/>
          <w14:textFill>
            <w14:solidFill>
              <w14:schemeClr w14:val="tx1"/>
            </w14:solidFill>
          </w14:textFill>
        </w:rPr>
      </w:pPr>
    </w:p>
    <w:p>
      <w:pPr>
        <w:spacing w:line="360" w:lineRule="auto"/>
        <w:ind w:left="360"/>
        <w:rPr>
          <w:rFonts w:cs="Arial"/>
          <w:color w:val="000000" w:themeColor="text1"/>
          <w:szCs w:val="20"/>
          <w14:textFill>
            <w14:solidFill>
              <w14:schemeClr w14:val="tx1"/>
            </w14:solidFill>
          </w14:textFill>
        </w:rPr>
      </w:pPr>
    </w:p>
    <w:p>
      <w:pPr>
        <w:spacing w:line="360" w:lineRule="auto"/>
        <w:jc w:val="right"/>
        <w:rPr>
          <w:rFonts w:cs="Arial"/>
          <w:szCs w:val="20"/>
        </w:rPr>
      </w:pPr>
      <w:r>
        <w:rPr>
          <w:rFonts w:cs="Arial"/>
          <w:szCs w:val="20"/>
        </w:rPr>
        <w:t>João Pessoa, 14 de abril de 2020.</w:t>
      </w:r>
    </w:p>
    <w:p>
      <w:pPr>
        <w:spacing w:line="360" w:lineRule="auto"/>
        <w:jc w:val="both"/>
        <w:rPr>
          <w:rFonts w:cs="Arial"/>
          <w:szCs w:val="20"/>
        </w:rPr>
      </w:pPr>
    </w:p>
    <w:p>
      <w:pPr>
        <w:spacing w:line="360" w:lineRule="auto"/>
        <w:jc w:val="center"/>
        <w:rPr>
          <w:rFonts w:cs="Arial"/>
          <w:szCs w:val="20"/>
        </w:rPr>
      </w:pPr>
    </w:p>
    <w:p>
      <w:pPr>
        <w:pBdr>
          <w:bottom w:val="single" w:color="000000" w:sz="12" w:space="1"/>
        </w:pBdr>
        <w:spacing w:line="360" w:lineRule="auto"/>
        <w:jc w:val="center"/>
        <w:rPr>
          <w:rFonts w:eastAsia="Calibri" w:cs="Arial"/>
          <w:szCs w:val="20"/>
        </w:rPr>
      </w:pPr>
    </w:p>
    <w:p>
      <w:pPr>
        <w:pBdr>
          <w:bottom w:val="single" w:color="000000" w:sz="12" w:space="1"/>
        </w:pBdr>
        <w:spacing w:line="360" w:lineRule="auto"/>
        <w:rPr>
          <w:rFonts w:eastAsia="Calibri" w:cs="Arial"/>
          <w:szCs w:val="20"/>
        </w:rPr>
      </w:pPr>
      <w:r>
        <w:rPr>
          <w:rFonts w:eastAsia="Calibri" w:cs="Arial"/>
          <w:szCs w:val="20"/>
        </w:rPr>
        <w:t xml:space="preserve">Ciente, </w:t>
      </w:r>
      <w:r>
        <w:rPr>
          <w:rFonts w:cs="Arial"/>
          <w:szCs w:val="20"/>
        </w:rPr>
        <w:t>14 de abril de 2020</w:t>
      </w:r>
      <w:r>
        <w:rPr>
          <w:rFonts w:eastAsia="Calibri" w:cs="Arial"/>
          <w:szCs w:val="20"/>
        </w:rPr>
        <w:t>.</w:t>
      </w:r>
    </w:p>
    <w:p>
      <w:pPr>
        <w:pBdr>
          <w:bottom w:val="single" w:color="000000" w:sz="12" w:space="1"/>
        </w:pBdr>
        <w:spacing w:line="360" w:lineRule="auto"/>
        <w:rPr>
          <w:rFonts w:eastAsia="Calibri" w:cs="Arial"/>
          <w:szCs w:val="20"/>
        </w:rPr>
      </w:pPr>
    </w:p>
    <w:p>
      <w:pPr>
        <w:spacing w:line="360" w:lineRule="auto"/>
        <w:jc w:val="center"/>
        <w:rPr>
          <w:rFonts w:eastAsia="Calibri" w:cs="Arial"/>
          <w:szCs w:val="20"/>
        </w:rPr>
      </w:pPr>
      <w:r>
        <w:rPr>
          <w:rFonts w:eastAsia="Calibri" w:cs="Arial"/>
          <w:szCs w:val="20"/>
        </w:rPr>
        <w:t>Josué Santos Silva - Matrícula: 455513</w:t>
      </w:r>
    </w:p>
    <w:p>
      <w:pPr>
        <w:spacing w:line="360" w:lineRule="auto"/>
        <w:jc w:val="center"/>
        <w:rPr>
          <w:rFonts w:eastAsia="Calibri" w:cs="Arial"/>
          <w:szCs w:val="20"/>
        </w:rPr>
      </w:pPr>
      <w:r>
        <w:rPr>
          <w:rFonts w:eastAsia="Calibri" w:cs="Arial"/>
          <w:szCs w:val="20"/>
        </w:rPr>
        <w:t>Diretor de Administração e Planejamaneto</w:t>
      </w:r>
    </w:p>
    <w:p>
      <w:pPr>
        <w:spacing w:line="360" w:lineRule="auto"/>
        <w:contextualSpacing/>
        <w:jc w:val="center"/>
        <w:rPr>
          <w:rFonts w:cs="Arial"/>
          <w:szCs w:val="20"/>
        </w:rPr>
      </w:pPr>
      <w:r>
        <w:rPr>
          <w:rFonts w:cs="Arial"/>
          <w:szCs w:val="20"/>
        </w:rPr>
        <w:t>Campus João Pessoa – IFPB</w:t>
      </w:r>
    </w:p>
    <w:p>
      <w:pPr>
        <w:pBdr>
          <w:bottom w:val="single" w:color="000000" w:sz="12" w:space="1"/>
        </w:pBdr>
        <w:spacing w:line="360" w:lineRule="auto"/>
        <w:rPr>
          <w:rFonts w:eastAsia="Calibri" w:cs="Arial"/>
          <w:szCs w:val="20"/>
        </w:rPr>
      </w:pPr>
    </w:p>
    <w:p>
      <w:pPr>
        <w:pBdr>
          <w:bottom w:val="single" w:color="000000" w:sz="12" w:space="1"/>
        </w:pBdr>
        <w:spacing w:line="360" w:lineRule="auto"/>
        <w:jc w:val="both"/>
        <w:rPr>
          <w:rFonts w:eastAsia="Calibri" w:cs="Arial"/>
          <w:szCs w:val="20"/>
        </w:rPr>
      </w:pPr>
    </w:p>
    <w:p>
      <w:pPr>
        <w:pBdr>
          <w:bottom w:val="single" w:color="000000" w:sz="12" w:space="1"/>
        </w:pBdr>
        <w:spacing w:line="360" w:lineRule="auto"/>
        <w:rPr>
          <w:rFonts w:eastAsia="Calibri" w:cs="Arial"/>
          <w:szCs w:val="20"/>
        </w:rPr>
      </w:pPr>
      <w:r>
        <w:rPr>
          <w:rFonts w:eastAsia="Calibri" w:cs="Arial"/>
          <w:szCs w:val="20"/>
        </w:rPr>
        <w:t xml:space="preserve">Aprovo, </w:t>
      </w:r>
      <w:r>
        <w:rPr>
          <w:rFonts w:cs="Arial"/>
          <w:szCs w:val="20"/>
        </w:rPr>
        <w:t>14 de abril de 2020</w:t>
      </w:r>
      <w:r>
        <w:rPr>
          <w:rFonts w:eastAsia="Calibri" w:cs="Arial"/>
          <w:szCs w:val="20"/>
        </w:rPr>
        <w:t>.</w:t>
      </w:r>
    </w:p>
    <w:p>
      <w:pPr>
        <w:pBdr>
          <w:bottom w:val="single" w:color="000000" w:sz="12" w:space="1"/>
        </w:pBdr>
        <w:spacing w:line="360" w:lineRule="auto"/>
        <w:jc w:val="center"/>
        <w:rPr>
          <w:rFonts w:eastAsia="Calibri" w:cs="Arial"/>
          <w:szCs w:val="20"/>
        </w:rPr>
      </w:pPr>
    </w:p>
    <w:p>
      <w:pPr>
        <w:pBdr>
          <w:bottom w:val="single" w:color="000000" w:sz="12" w:space="1"/>
        </w:pBdr>
        <w:spacing w:line="360" w:lineRule="auto"/>
        <w:jc w:val="center"/>
        <w:rPr>
          <w:rFonts w:eastAsia="Calibri" w:cs="Arial"/>
          <w:szCs w:val="20"/>
        </w:rPr>
      </w:pPr>
    </w:p>
    <w:p>
      <w:pPr>
        <w:spacing w:line="360" w:lineRule="auto"/>
        <w:jc w:val="center"/>
        <w:rPr>
          <w:rFonts w:eastAsia="Calibri" w:cs="Arial"/>
          <w:szCs w:val="20"/>
        </w:rPr>
      </w:pPr>
      <w:r>
        <w:rPr>
          <w:rFonts w:eastAsia="Calibri" w:cs="Arial"/>
          <w:szCs w:val="20"/>
        </w:rPr>
        <w:t>Neilor Cesar dos Santos - Matrícula: 274094</w:t>
      </w:r>
    </w:p>
    <w:p>
      <w:pPr>
        <w:spacing w:line="360" w:lineRule="auto"/>
        <w:jc w:val="center"/>
        <w:rPr>
          <w:rFonts w:eastAsia="Calibri" w:cs="Arial"/>
          <w:szCs w:val="20"/>
        </w:rPr>
      </w:pPr>
      <w:r>
        <w:rPr>
          <w:rFonts w:eastAsia="Calibri" w:cs="Arial"/>
          <w:szCs w:val="20"/>
        </w:rPr>
        <w:t>Diretor Geral</w:t>
      </w:r>
    </w:p>
    <w:p>
      <w:pPr>
        <w:spacing w:line="360" w:lineRule="auto"/>
        <w:contextualSpacing/>
        <w:jc w:val="center"/>
        <w:rPr>
          <w:rFonts w:cs="Arial"/>
          <w:szCs w:val="20"/>
        </w:rPr>
      </w:pPr>
      <w:r>
        <w:rPr>
          <w:rFonts w:cs="Arial"/>
          <w:szCs w:val="20"/>
        </w:rPr>
        <w:t>Campus João Pessoa – IFPB</w:t>
      </w:r>
    </w:p>
    <w:p>
      <w:pPr>
        <w:spacing w:line="360" w:lineRule="auto"/>
        <w:jc w:val="center"/>
        <w:rPr>
          <w:rFonts w:eastAsia="Calibri" w:cs="Arial"/>
          <w:szCs w:val="20"/>
        </w:rPr>
      </w:pPr>
    </w:p>
    <w:p>
      <w:pPr>
        <w:spacing w:line="360" w:lineRule="auto"/>
        <w:jc w:val="center"/>
        <w:rPr>
          <w:rFonts w:eastAsia="Calibri" w:cs="Arial"/>
          <w:szCs w:val="20"/>
        </w:rPr>
      </w:pPr>
    </w:p>
    <w:p>
      <w:pPr>
        <w:snapToGrid w:val="0"/>
        <w:spacing w:line="360" w:lineRule="auto"/>
        <w:ind w:right="-30"/>
        <w:jc w:val="center"/>
        <w:rPr>
          <w:rFonts w:cs="Arial"/>
          <w:b/>
          <w:bCs/>
          <w:iCs/>
          <w:color w:val="000000"/>
          <w:szCs w:val="20"/>
        </w:rPr>
      </w:pPr>
    </w:p>
    <w:p>
      <w:pPr>
        <w:pStyle w:val="4"/>
        <w:rPr>
          <w:rFonts w:cs="Arial"/>
          <w:b/>
          <w:sz w:val="20"/>
        </w:rPr>
      </w:pPr>
      <w:r>
        <w:rPr>
          <w:rFonts w:cs="Arial"/>
          <w:b/>
          <w:sz w:val="20"/>
        </w:rPr>
        <w:t>Equipe de Planejamento:</w:t>
      </w:r>
    </w:p>
    <w:p>
      <w:pPr>
        <w:pStyle w:val="4"/>
        <w:rPr>
          <w:rFonts w:cs="Arial"/>
          <w:b/>
          <w:sz w:val="20"/>
        </w:rPr>
      </w:pPr>
    </w:p>
    <w:p>
      <w:pPr>
        <w:pStyle w:val="4"/>
        <w:rPr>
          <w:rFonts w:cs="Arial"/>
          <w:b/>
          <w:sz w:val="20"/>
        </w:rPr>
      </w:pPr>
      <w:r>
        <w:rPr>
          <w:rFonts w:cs="Arial"/>
          <w:b/>
          <w:sz w:val="20"/>
        </w:rPr>
        <w:t>____________________________________________</w:t>
      </w:r>
    </w:p>
    <w:p>
      <w:pPr>
        <w:pStyle w:val="4"/>
        <w:rPr>
          <w:rFonts w:cs="Arial"/>
          <w:b/>
          <w:sz w:val="20"/>
        </w:rPr>
      </w:pPr>
      <w:r>
        <w:rPr>
          <w:rFonts w:cs="Arial"/>
          <w:sz w:val="20"/>
        </w:rPr>
        <w:t xml:space="preserve">            Cassio Ramos Moura Lima - Mat: 1980879</w:t>
      </w:r>
    </w:p>
    <w:p>
      <w:pPr>
        <w:pStyle w:val="4"/>
        <w:rPr>
          <w:rFonts w:cs="Arial"/>
          <w:sz w:val="20"/>
        </w:rPr>
      </w:pPr>
      <w:r>
        <w:rPr>
          <w:rFonts w:cs="Arial"/>
          <w:b/>
          <w:sz w:val="20"/>
        </w:rPr>
        <w:t xml:space="preserve">        </w:t>
      </w:r>
    </w:p>
    <w:p>
      <w:pPr>
        <w:pStyle w:val="4"/>
        <w:rPr>
          <w:rFonts w:cs="Arial"/>
          <w:b/>
          <w:sz w:val="20"/>
        </w:rPr>
      </w:pPr>
      <w:r>
        <w:rPr>
          <w:rFonts w:cs="Arial"/>
          <w:b/>
          <w:sz w:val="20"/>
        </w:rPr>
        <w:t>____________________________________________</w:t>
      </w:r>
    </w:p>
    <w:p>
      <w:pPr>
        <w:pStyle w:val="4"/>
        <w:rPr>
          <w:rFonts w:cs="Arial"/>
          <w:color w:val="333333"/>
          <w:sz w:val="20"/>
          <w:shd w:val="clear" w:color="auto" w:fill="F9F9F9"/>
        </w:rPr>
      </w:pPr>
      <w:r>
        <w:rPr>
          <w:rFonts w:cs="Arial"/>
          <w:sz w:val="20"/>
        </w:rPr>
        <w:t xml:space="preserve">             Itamira Raquel Santos Virginio – Mat: </w:t>
      </w:r>
      <w:r>
        <w:rPr>
          <w:rFonts w:cs="Arial"/>
          <w:color w:val="333333"/>
          <w:sz w:val="20"/>
          <w:shd w:val="clear" w:color="auto" w:fill="F9F9F9"/>
        </w:rPr>
        <w:t>1275387</w:t>
      </w:r>
    </w:p>
    <w:p>
      <w:pPr>
        <w:pStyle w:val="4"/>
        <w:rPr>
          <w:rFonts w:cs="Arial"/>
          <w:color w:val="333333"/>
          <w:sz w:val="20"/>
          <w:shd w:val="clear" w:color="auto" w:fill="F9F9F9"/>
        </w:rPr>
      </w:pPr>
    </w:p>
    <w:p>
      <w:pPr>
        <w:pStyle w:val="4"/>
        <w:rPr>
          <w:rFonts w:cs="Arial"/>
          <w:b/>
          <w:sz w:val="20"/>
        </w:rPr>
      </w:pPr>
      <w:r>
        <w:rPr>
          <w:rFonts w:cs="Arial"/>
          <w:b/>
          <w:sz w:val="20"/>
        </w:rPr>
        <w:t>____________________________________________</w:t>
      </w:r>
    </w:p>
    <w:p>
      <w:pPr>
        <w:pStyle w:val="4"/>
        <w:rPr>
          <w:rFonts w:cs="Arial"/>
          <w:color w:val="000000" w:themeColor="text1"/>
          <w14:textFill>
            <w14:solidFill>
              <w14:schemeClr w14:val="tx1"/>
            </w14:solidFill>
          </w14:textFill>
        </w:rPr>
      </w:pPr>
      <w:r>
        <w:rPr>
          <w:rFonts w:cs="Arial"/>
          <w:sz w:val="20"/>
        </w:rPr>
        <w:t xml:space="preserve">             Elizabete da Costa Gomes – Mat: </w:t>
      </w:r>
      <w:r>
        <w:rPr>
          <w:rFonts w:cs="Arial"/>
          <w:color w:val="333333"/>
          <w:sz w:val="20"/>
          <w:shd w:val="clear" w:color="auto" w:fill="F9F9F9"/>
        </w:rPr>
        <w:t>1884149</w:t>
      </w:r>
    </w:p>
    <w:sectPr>
      <w:headerReference r:id="rId3" w:type="default"/>
      <w:footerReference r:id="rId4" w:type="default"/>
      <w:pgSz w:w="11906" w:h="16838"/>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ＭＳ 明朝">
    <w:altName w:val="Segoe Print"/>
    <w:panose1 w:val="00000000000000000000"/>
    <w:charset w:val="00"/>
    <w:family w:val="auto"/>
    <w:pitch w:val="default"/>
    <w:sig w:usb0="00000000" w:usb1="00000000" w:usb2="00000000" w:usb3="00000000" w:csb0="00000000" w:csb1="00000000"/>
  </w:font>
  <w:font w:name="Ecofont_Spranq_eco_Sans">
    <w:altName w:val="Cambria"/>
    <w:panose1 w:val="00000000000000000000"/>
    <w:charset w:val="00"/>
    <w:family w:val="swiss"/>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Arial"/>
        <w:b/>
        <w:bCs/>
        <w:sz w:val="12"/>
        <w:szCs w:val="12"/>
      </w:rPr>
    </w:pPr>
    <w:bookmarkStart w:id="2" w:name="_Hlk19626596"/>
    <w:r>
      <w:rPr>
        <w:rFonts w:cs="Arial"/>
        <w:b/>
        <w:bCs/>
        <w:sz w:val="12"/>
        <w:szCs w:val="12"/>
      </w:rPr>
      <w:t xml:space="preserve">DEPARTAMENTO DE LOGÍSTICA </w:t>
    </w:r>
  </w:p>
  <w:p>
    <w:pPr>
      <w:pStyle w:val="10"/>
      <w:rPr>
        <w:rFonts w:cs="Arial"/>
        <w:b/>
        <w:bCs/>
        <w:sz w:val="12"/>
        <w:szCs w:val="12"/>
      </w:rPr>
    </w:pPr>
    <w:r>
      <w:rPr>
        <w:rFonts w:cs="Arial"/>
        <w:b/>
        <w:bCs/>
        <w:sz w:val="12"/>
        <w:szCs w:val="12"/>
      </w:rPr>
      <w:t>Pregão Eletrônico SRP Nº 11/2019</w:t>
    </w:r>
  </w:p>
  <w:bookmarkEnd w:id="2"/>
  <w:p>
    <w:pPr>
      <w:pStyle w:val="10"/>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b/>
        <w:bCs/>
        <w:color w:val="auto"/>
        <w:sz w:val="20"/>
        <w:szCs w:val="20"/>
      </w:rPr>
    </w:pPr>
    <w:bookmarkStart w:id="0" w:name="_Hlk19626581"/>
    <w:r>
      <w:drawing>
        <wp:anchor distT="0" distB="0" distL="114300" distR="114300" simplePos="0" relativeHeight="251660288" behindDoc="0" locked="0" layoutInCell="1" allowOverlap="1">
          <wp:simplePos x="0" y="0"/>
          <wp:positionH relativeFrom="column">
            <wp:posOffset>4721860</wp:posOffset>
          </wp:positionH>
          <wp:positionV relativeFrom="paragraph">
            <wp:posOffset>-283845</wp:posOffset>
          </wp:positionV>
          <wp:extent cx="1031240" cy="949960"/>
          <wp:effectExtent l="0" t="0" r="0" b="254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1240" cy="94996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8104505</wp:posOffset>
          </wp:positionH>
          <wp:positionV relativeFrom="paragraph">
            <wp:posOffset>11430</wp:posOffset>
          </wp:positionV>
          <wp:extent cx="1031240" cy="9499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1240" cy="949960"/>
                  </a:xfrm>
                  <a:prstGeom prst="rect">
                    <a:avLst/>
                  </a:prstGeom>
                  <a:noFill/>
                  <a:ln>
                    <a:noFill/>
                  </a:ln>
                </pic:spPr>
              </pic:pic>
            </a:graphicData>
          </a:graphic>
        </wp:anchor>
      </w:drawing>
    </w:r>
    <w:bookmarkStart w:id="1" w:name="_Hlk16687301"/>
    <w:r>
      <w:rPr>
        <w:b/>
        <w:color w:val="auto"/>
        <w:szCs w:val="20"/>
      </w:rPr>
      <w:drawing>
        <wp:inline distT="0" distB="0" distL="0" distR="0">
          <wp:extent cx="822960" cy="8229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2960" cy="822960"/>
                  </a:xfrm>
                  <a:prstGeom prst="rect">
                    <a:avLst/>
                  </a:prstGeom>
                  <a:noFill/>
                  <a:ln>
                    <a:noFill/>
                  </a:ln>
                </pic:spPr>
              </pic:pic>
            </a:graphicData>
          </a:graphic>
        </wp:inline>
      </w:drawing>
    </w:r>
  </w:p>
  <w:p>
    <w:pPr>
      <w:pStyle w:val="42"/>
      <w:jc w:val="center"/>
      <w:rPr>
        <w:rFonts w:ascii="Arial" w:hAnsi="Arial" w:cs="Arial"/>
        <w:b/>
        <w:bCs/>
        <w:color w:val="auto"/>
        <w:sz w:val="20"/>
        <w:szCs w:val="20"/>
      </w:rPr>
    </w:pPr>
    <w:r>
      <w:rPr>
        <w:rFonts w:ascii="Arial" w:hAnsi="Arial" w:cs="Arial"/>
        <w:b/>
        <w:bCs/>
        <w:color w:val="auto"/>
        <w:sz w:val="20"/>
        <w:szCs w:val="20"/>
      </w:rPr>
      <w:t>MINISTÉRIO DA EDUCAÇÃO</w:t>
    </w:r>
  </w:p>
  <w:p>
    <w:pPr>
      <w:pStyle w:val="42"/>
      <w:jc w:val="center"/>
      <w:rPr>
        <w:rFonts w:ascii="Arial" w:hAnsi="Arial" w:cs="Arial"/>
        <w:b/>
        <w:bCs/>
        <w:color w:val="auto"/>
        <w:sz w:val="20"/>
        <w:szCs w:val="20"/>
      </w:rPr>
    </w:pPr>
    <w:r>
      <w:rPr>
        <w:rFonts w:ascii="Arial" w:hAnsi="Arial" w:cs="Arial"/>
        <w:b/>
        <w:bCs/>
        <w:color w:val="auto"/>
        <w:sz w:val="20"/>
        <w:szCs w:val="20"/>
      </w:rPr>
      <w:t>INSTITUTO FEDERAL DA PARAÍBA - CAMPUS JOÃO PESSOA</w:t>
    </w:r>
  </w:p>
  <w:p>
    <w:pPr>
      <w:pStyle w:val="42"/>
      <w:jc w:val="center"/>
      <w:rPr>
        <w:rFonts w:ascii="Arial" w:hAnsi="Arial" w:cs="Arial"/>
        <w:b/>
        <w:bCs/>
        <w:color w:val="auto"/>
        <w:sz w:val="20"/>
        <w:szCs w:val="20"/>
      </w:rPr>
    </w:pPr>
    <w:r>
      <w:rPr>
        <w:rFonts w:ascii="Arial" w:hAnsi="Arial" w:cs="Arial"/>
        <w:b/>
        <w:bCs/>
        <w:color w:val="auto"/>
        <w:sz w:val="20"/>
        <w:szCs w:val="20"/>
      </w:rPr>
      <w:t>DEPARTAMENTO DE LOGÍSTICA</w:t>
    </w:r>
  </w:p>
  <w:p>
    <w:pPr>
      <w:pStyle w:val="42"/>
      <w:jc w:val="center"/>
    </w:pPr>
    <w:r>
      <w:rPr>
        <w:rFonts w:ascii="Arial" w:hAnsi="Arial" w:cs="Arial"/>
        <w:b/>
        <w:bCs/>
        <w:color w:val="auto"/>
        <w:sz w:val="20"/>
        <w:szCs w:val="20"/>
      </w:rPr>
      <w:t>COORDENAÇÃO DE COMPRAS E LICITAÇÕES</w:t>
    </w:r>
    <w:bookmarkEnd w:id="0"/>
    <w:bookmarkEnd w:id="1"/>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6"/>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1"/>
      <w:lvlText w:val="%1."/>
      <w:lvlJc w:val="left"/>
      <w:pPr>
        <w:ind w:left="360" w:hanging="360"/>
      </w:pPr>
      <w:rPr>
        <w:b/>
      </w:rPr>
    </w:lvl>
    <w:lvl w:ilvl="1" w:tentative="0">
      <w:start w:val="1"/>
      <w:numFmt w:val="decimal"/>
      <w:lvlText w:val="%1.%2."/>
      <w:lvlJc w:val="left"/>
      <w:pPr>
        <w:ind w:left="716" w:hanging="432"/>
      </w:pPr>
      <w:rPr>
        <w:b w:val="0"/>
        <w:i w:val="0"/>
        <w:strike w:val="0"/>
        <w:color w:val="auto"/>
      </w:rPr>
    </w:lvl>
    <w:lvl w:ilvl="2" w:tentative="0">
      <w:start w:val="1"/>
      <w:numFmt w:val="decimal"/>
      <w:lvlText w:val="%1.%2.%3."/>
      <w:lvlJc w:val="left"/>
      <w:pPr>
        <w:ind w:left="930" w:hanging="504"/>
      </w:pPr>
      <w:rPr>
        <w:b w:val="0"/>
        <w:i w:val="0"/>
        <w:color w:val="auto"/>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30BB31F4"/>
    <w:multiLevelType w:val="multilevel"/>
    <w:tmpl w:val="30BB31F4"/>
    <w:lvl w:ilvl="0" w:tentative="0">
      <w:start w:val="1"/>
      <w:numFmt w:val="bullet"/>
      <w:lvlText w:val=""/>
      <w:lvlJc w:val="left"/>
      <w:pPr>
        <w:ind w:left="1425" w:hanging="360"/>
      </w:pPr>
      <w:rPr>
        <w:rFonts w:hint="default" w:ascii="Symbol" w:hAnsi="Symbol"/>
      </w:rPr>
    </w:lvl>
    <w:lvl w:ilvl="1" w:tentative="0">
      <w:start w:val="1"/>
      <w:numFmt w:val="bullet"/>
      <w:lvlText w:val="o"/>
      <w:lvlJc w:val="left"/>
      <w:pPr>
        <w:ind w:left="2145" w:hanging="360"/>
      </w:pPr>
      <w:rPr>
        <w:rFonts w:hint="default" w:ascii="Courier New" w:hAnsi="Courier New" w:cs="Courier New"/>
      </w:rPr>
    </w:lvl>
    <w:lvl w:ilvl="2" w:tentative="0">
      <w:start w:val="1"/>
      <w:numFmt w:val="bullet"/>
      <w:lvlText w:val=""/>
      <w:lvlJc w:val="left"/>
      <w:pPr>
        <w:ind w:left="2865" w:hanging="360"/>
      </w:pPr>
      <w:rPr>
        <w:rFonts w:hint="default" w:ascii="Wingdings" w:hAnsi="Wingdings"/>
      </w:rPr>
    </w:lvl>
    <w:lvl w:ilvl="3" w:tentative="0">
      <w:start w:val="1"/>
      <w:numFmt w:val="bullet"/>
      <w:lvlText w:val=""/>
      <w:lvlJc w:val="left"/>
      <w:pPr>
        <w:ind w:left="3585" w:hanging="360"/>
      </w:pPr>
      <w:rPr>
        <w:rFonts w:hint="default" w:ascii="Symbol" w:hAnsi="Symbol"/>
      </w:rPr>
    </w:lvl>
    <w:lvl w:ilvl="4" w:tentative="0">
      <w:start w:val="1"/>
      <w:numFmt w:val="bullet"/>
      <w:lvlText w:val="o"/>
      <w:lvlJc w:val="left"/>
      <w:pPr>
        <w:ind w:left="4305" w:hanging="360"/>
      </w:pPr>
      <w:rPr>
        <w:rFonts w:hint="default" w:ascii="Courier New" w:hAnsi="Courier New" w:cs="Courier New"/>
      </w:rPr>
    </w:lvl>
    <w:lvl w:ilvl="5" w:tentative="0">
      <w:start w:val="1"/>
      <w:numFmt w:val="bullet"/>
      <w:lvlText w:val=""/>
      <w:lvlJc w:val="left"/>
      <w:pPr>
        <w:ind w:left="5025" w:hanging="360"/>
      </w:pPr>
      <w:rPr>
        <w:rFonts w:hint="default" w:ascii="Wingdings" w:hAnsi="Wingdings"/>
      </w:rPr>
    </w:lvl>
    <w:lvl w:ilvl="6" w:tentative="0">
      <w:start w:val="1"/>
      <w:numFmt w:val="bullet"/>
      <w:lvlText w:val=""/>
      <w:lvlJc w:val="left"/>
      <w:pPr>
        <w:ind w:left="5745" w:hanging="360"/>
      </w:pPr>
      <w:rPr>
        <w:rFonts w:hint="default" w:ascii="Symbol" w:hAnsi="Symbol"/>
      </w:rPr>
    </w:lvl>
    <w:lvl w:ilvl="7" w:tentative="0">
      <w:start w:val="1"/>
      <w:numFmt w:val="bullet"/>
      <w:lvlText w:val="o"/>
      <w:lvlJc w:val="left"/>
      <w:pPr>
        <w:ind w:left="6465" w:hanging="360"/>
      </w:pPr>
      <w:rPr>
        <w:rFonts w:hint="default" w:ascii="Courier New" w:hAnsi="Courier New" w:cs="Courier New"/>
      </w:rPr>
    </w:lvl>
    <w:lvl w:ilvl="8" w:tentative="0">
      <w:start w:val="1"/>
      <w:numFmt w:val="bullet"/>
      <w:lvlText w:val=""/>
      <w:lvlJc w:val="left"/>
      <w:pPr>
        <w:ind w:left="7185" w:hanging="360"/>
      </w:pPr>
      <w:rPr>
        <w:rFonts w:hint="default" w:ascii="Wingdings" w:hAnsi="Wingdings"/>
      </w:rPr>
    </w:lvl>
  </w:abstractNum>
  <w:abstractNum w:abstractNumId="3">
    <w:nsid w:val="4D4B7E7D"/>
    <w:multiLevelType w:val="multilevel"/>
    <w:tmpl w:val="4D4B7E7D"/>
    <w:lvl w:ilvl="0" w:tentative="0">
      <w:start w:val="1"/>
      <w:numFmt w:val="bullet"/>
      <w:lvlText w:val=""/>
      <w:lvlJc w:val="left"/>
      <w:pPr>
        <w:ind w:left="1650" w:hanging="360"/>
      </w:pPr>
      <w:rPr>
        <w:rFonts w:hint="default" w:ascii="Symbol" w:hAnsi="Symbol"/>
      </w:rPr>
    </w:lvl>
    <w:lvl w:ilvl="1" w:tentative="0">
      <w:start w:val="1"/>
      <w:numFmt w:val="bullet"/>
      <w:lvlText w:val="o"/>
      <w:lvlJc w:val="left"/>
      <w:pPr>
        <w:ind w:left="2370" w:hanging="360"/>
      </w:pPr>
      <w:rPr>
        <w:rFonts w:hint="default" w:ascii="Courier New" w:hAnsi="Courier New" w:cs="Courier New"/>
      </w:rPr>
    </w:lvl>
    <w:lvl w:ilvl="2" w:tentative="0">
      <w:start w:val="1"/>
      <w:numFmt w:val="bullet"/>
      <w:lvlText w:val=""/>
      <w:lvlJc w:val="left"/>
      <w:pPr>
        <w:ind w:left="3090" w:hanging="360"/>
      </w:pPr>
      <w:rPr>
        <w:rFonts w:hint="default" w:ascii="Wingdings" w:hAnsi="Wingdings"/>
      </w:rPr>
    </w:lvl>
    <w:lvl w:ilvl="3" w:tentative="0">
      <w:start w:val="1"/>
      <w:numFmt w:val="bullet"/>
      <w:lvlText w:val=""/>
      <w:lvlJc w:val="left"/>
      <w:pPr>
        <w:ind w:left="3810" w:hanging="360"/>
      </w:pPr>
      <w:rPr>
        <w:rFonts w:hint="default" w:ascii="Symbol" w:hAnsi="Symbol"/>
      </w:rPr>
    </w:lvl>
    <w:lvl w:ilvl="4" w:tentative="0">
      <w:start w:val="1"/>
      <w:numFmt w:val="bullet"/>
      <w:lvlText w:val="o"/>
      <w:lvlJc w:val="left"/>
      <w:pPr>
        <w:ind w:left="4530" w:hanging="360"/>
      </w:pPr>
      <w:rPr>
        <w:rFonts w:hint="default" w:ascii="Courier New" w:hAnsi="Courier New" w:cs="Courier New"/>
      </w:rPr>
    </w:lvl>
    <w:lvl w:ilvl="5" w:tentative="0">
      <w:start w:val="1"/>
      <w:numFmt w:val="bullet"/>
      <w:lvlText w:val=""/>
      <w:lvlJc w:val="left"/>
      <w:pPr>
        <w:ind w:left="5250" w:hanging="360"/>
      </w:pPr>
      <w:rPr>
        <w:rFonts w:hint="default" w:ascii="Wingdings" w:hAnsi="Wingdings"/>
      </w:rPr>
    </w:lvl>
    <w:lvl w:ilvl="6" w:tentative="0">
      <w:start w:val="1"/>
      <w:numFmt w:val="bullet"/>
      <w:lvlText w:val=""/>
      <w:lvlJc w:val="left"/>
      <w:pPr>
        <w:ind w:left="5970" w:hanging="360"/>
      </w:pPr>
      <w:rPr>
        <w:rFonts w:hint="default" w:ascii="Symbol" w:hAnsi="Symbol"/>
      </w:rPr>
    </w:lvl>
    <w:lvl w:ilvl="7" w:tentative="0">
      <w:start w:val="1"/>
      <w:numFmt w:val="bullet"/>
      <w:lvlText w:val="o"/>
      <w:lvlJc w:val="left"/>
      <w:pPr>
        <w:ind w:left="6690" w:hanging="360"/>
      </w:pPr>
      <w:rPr>
        <w:rFonts w:hint="default" w:ascii="Courier New" w:hAnsi="Courier New" w:cs="Courier New"/>
      </w:rPr>
    </w:lvl>
    <w:lvl w:ilvl="8" w:tentative="0">
      <w:start w:val="1"/>
      <w:numFmt w:val="bullet"/>
      <w:lvlText w:val=""/>
      <w:lvlJc w:val="left"/>
      <w:pPr>
        <w:ind w:left="7410" w:hanging="360"/>
      </w:pPr>
      <w:rPr>
        <w:rFonts w:hint="default" w:ascii="Wingdings" w:hAnsi="Wingdings"/>
      </w:rPr>
    </w:lvl>
  </w:abstractNum>
  <w:abstractNum w:abstractNumId="4">
    <w:nsid w:val="6EB44B06"/>
    <w:multiLevelType w:val="multilevel"/>
    <w:tmpl w:val="6EB44B06"/>
    <w:lvl w:ilvl="0" w:tentative="0">
      <w:start w:val="1"/>
      <w:numFmt w:val="bullet"/>
      <w:lvlText w:val=""/>
      <w:lvlJc w:val="left"/>
      <w:pPr>
        <w:ind w:left="1067" w:hanging="360"/>
      </w:pPr>
      <w:rPr>
        <w:rFonts w:hint="default" w:ascii="Symbol" w:hAnsi="Symbol"/>
      </w:rPr>
    </w:lvl>
    <w:lvl w:ilvl="1" w:tentative="0">
      <w:start w:val="1"/>
      <w:numFmt w:val="bullet"/>
      <w:lvlText w:val="o"/>
      <w:lvlJc w:val="left"/>
      <w:pPr>
        <w:ind w:left="1787" w:hanging="360"/>
      </w:pPr>
      <w:rPr>
        <w:rFonts w:hint="default" w:ascii="Courier New" w:hAnsi="Courier New" w:cs="Courier New"/>
      </w:rPr>
    </w:lvl>
    <w:lvl w:ilvl="2" w:tentative="0">
      <w:start w:val="1"/>
      <w:numFmt w:val="bullet"/>
      <w:lvlText w:val=""/>
      <w:lvlJc w:val="left"/>
      <w:pPr>
        <w:ind w:left="2507" w:hanging="360"/>
      </w:pPr>
      <w:rPr>
        <w:rFonts w:hint="default" w:ascii="Wingdings" w:hAnsi="Wingdings"/>
      </w:rPr>
    </w:lvl>
    <w:lvl w:ilvl="3" w:tentative="0">
      <w:start w:val="1"/>
      <w:numFmt w:val="bullet"/>
      <w:lvlText w:val=""/>
      <w:lvlJc w:val="left"/>
      <w:pPr>
        <w:ind w:left="3227" w:hanging="360"/>
      </w:pPr>
      <w:rPr>
        <w:rFonts w:hint="default" w:ascii="Symbol" w:hAnsi="Symbol"/>
      </w:rPr>
    </w:lvl>
    <w:lvl w:ilvl="4" w:tentative="0">
      <w:start w:val="1"/>
      <w:numFmt w:val="bullet"/>
      <w:lvlText w:val="o"/>
      <w:lvlJc w:val="left"/>
      <w:pPr>
        <w:ind w:left="3947" w:hanging="360"/>
      </w:pPr>
      <w:rPr>
        <w:rFonts w:hint="default" w:ascii="Courier New" w:hAnsi="Courier New" w:cs="Courier New"/>
      </w:rPr>
    </w:lvl>
    <w:lvl w:ilvl="5" w:tentative="0">
      <w:start w:val="1"/>
      <w:numFmt w:val="bullet"/>
      <w:lvlText w:val=""/>
      <w:lvlJc w:val="left"/>
      <w:pPr>
        <w:ind w:left="4667" w:hanging="360"/>
      </w:pPr>
      <w:rPr>
        <w:rFonts w:hint="default" w:ascii="Wingdings" w:hAnsi="Wingdings"/>
      </w:rPr>
    </w:lvl>
    <w:lvl w:ilvl="6" w:tentative="0">
      <w:start w:val="1"/>
      <w:numFmt w:val="bullet"/>
      <w:lvlText w:val=""/>
      <w:lvlJc w:val="left"/>
      <w:pPr>
        <w:ind w:left="5387" w:hanging="360"/>
      </w:pPr>
      <w:rPr>
        <w:rFonts w:hint="default" w:ascii="Symbol" w:hAnsi="Symbol"/>
      </w:rPr>
    </w:lvl>
    <w:lvl w:ilvl="7" w:tentative="0">
      <w:start w:val="1"/>
      <w:numFmt w:val="bullet"/>
      <w:lvlText w:val="o"/>
      <w:lvlJc w:val="left"/>
      <w:pPr>
        <w:ind w:left="6107" w:hanging="360"/>
      </w:pPr>
      <w:rPr>
        <w:rFonts w:hint="default" w:ascii="Courier New" w:hAnsi="Courier New" w:cs="Courier New"/>
      </w:rPr>
    </w:lvl>
    <w:lvl w:ilvl="8" w:tentative="0">
      <w:start w:val="1"/>
      <w:numFmt w:val="bullet"/>
      <w:lvlText w:val=""/>
      <w:lvlJc w:val="left"/>
      <w:pPr>
        <w:ind w:left="6827"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1"/>
    <w:lvlOverride w:ilvl="0">
      <w:startOverride w:val="7"/>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236D"/>
    <w:rsid w:val="00003298"/>
    <w:rsid w:val="0000392B"/>
    <w:rsid w:val="000135C0"/>
    <w:rsid w:val="0001661B"/>
    <w:rsid w:val="0002260C"/>
    <w:rsid w:val="00022C4E"/>
    <w:rsid w:val="0002306D"/>
    <w:rsid w:val="000242C8"/>
    <w:rsid w:val="00027155"/>
    <w:rsid w:val="000318BA"/>
    <w:rsid w:val="00034A29"/>
    <w:rsid w:val="00040957"/>
    <w:rsid w:val="00045830"/>
    <w:rsid w:val="00047D73"/>
    <w:rsid w:val="000528E5"/>
    <w:rsid w:val="00056433"/>
    <w:rsid w:val="00060414"/>
    <w:rsid w:val="00062853"/>
    <w:rsid w:val="00062C9B"/>
    <w:rsid w:val="00063CC2"/>
    <w:rsid w:val="0006537A"/>
    <w:rsid w:val="000670EC"/>
    <w:rsid w:val="000677A2"/>
    <w:rsid w:val="00070EA5"/>
    <w:rsid w:val="00073282"/>
    <w:rsid w:val="0007362F"/>
    <w:rsid w:val="00076CBC"/>
    <w:rsid w:val="000779C7"/>
    <w:rsid w:val="00081098"/>
    <w:rsid w:val="00087EF2"/>
    <w:rsid w:val="00090F5D"/>
    <w:rsid w:val="00092759"/>
    <w:rsid w:val="00093CC3"/>
    <w:rsid w:val="00094321"/>
    <w:rsid w:val="000A038D"/>
    <w:rsid w:val="000A102A"/>
    <w:rsid w:val="000A1A7B"/>
    <w:rsid w:val="000A1B88"/>
    <w:rsid w:val="000A23DA"/>
    <w:rsid w:val="000A674F"/>
    <w:rsid w:val="000B1AC5"/>
    <w:rsid w:val="000B6FB6"/>
    <w:rsid w:val="000B7B55"/>
    <w:rsid w:val="000C123B"/>
    <w:rsid w:val="000C21AD"/>
    <w:rsid w:val="000C2C16"/>
    <w:rsid w:val="000C5EE4"/>
    <w:rsid w:val="000C670A"/>
    <w:rsid w:val="000D2A1E"/>
    <w:rsid w:val="000D2AC3"/>
    <w:rsid w:val="000D418A"/>
    <w:rsid w:val="000F1C1C"/>
    <w:rsid w:val="000F2335"/>
    <w:rsid w:val="000F4088"/>
    <w:rsid w:val="000F4F96"/>
    <w:rsid w:val="000F5A07"/>
    <w:rsid w:val="00100990"/>
    <w:rsid w:val="00105707"/>
    <w:rsid w:val="001060BC"/>
    <w:rsid w:val="001103FF"/>
    <w:rsid w:val="00110F04"/>
    <w:rsid w:val="00113EEB"/>
    <w:rsid w:val="00114342"/>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56FB6"/>
    <w:rsid w:val="00160BBD"/>
    <w:rsid w:val="00160DA4"/>
    <w:rsid w:val="00165827"/>
    <w:rsid w:val="0016584A"/>
    <w:rsid w:val="00170CE1"/>
    <w:rsid w:val="00174CAA"/>
    <w:rsid w:val="001772FE"/>
    <w:rsid w:val="00177CD5"/>
    <w:rsid w:val="001817D2"/>
    <w:rsid w:val="00184086"/>
    <w:rsid w:val="001904A8"/>
    <w:rsid w:val="001A11DA"/>
    <w:rsid w:val="001A1732"/>
    <w:rsid w:val="001A2CE9"/>
    <w:rsid w:val="001A3A05"/>
    <w:rsid w:val="001A3E18"/>
    <w:rsid w:val="001A425B"/>
    <w:rsid w:val="001A6D74"/>
    <w:rsid w:val="001B005B"/>
    <w:rsid w:val="001C1001"/>
    <w:rsid w:val="001C3505"/>
    <w:rsid w:val="001C3F32"/>
    <w:rsid w:val="001C48B6"/>
    <w:rsid w:val="001C4C04"/>
    <w:rsid w:val="001C694F"/>
    <w:rsid w:val="001C71C1"/>
    <w:rsid w:val="001C721E"/>
    <w:rsid w:val="001D6BE8"/>
    <w:rsid w:val="001E14AF"/>
    <w:rsid w:val="001E3AAF"/>
    <w:rsid w:val="001E5120"/>
    <w:rsid w:val="001F0A6E"/>
    <w:rsid w:val="001F39FA"/>
    <w:rsid w:val="001F73B3"/>
    <w:rsid w:val="0020083E"/>
    <w:rsid w:val="00202A04"/>
    <w:rsid w:val="00205197"/>
    <w:rsid w:val="0020593D"/>
    <w:rsid w:val="00207B98"/>
    <w:rsid w:val="00210001"/>
    <w:rsid w:val="0021106D"/>
    <w:rsid w:val="0022046F"/>
    <w:rsid w:val="00220A65"/>
    <w:rsid w:val="00220D9F"/>
    <w:rsid w:val="00221BA5"/>
    <w:rsid w:val="00222980"/>
    <w:rsid w:val="002241A2"/>
    <w:rsid w:val="00231E8F"/>
    <w:rsid w:val="00231E9C"/>
    <w:rsid w:val="00235489"/>
    <w:rsid w:val="002405C3"/>
    <w:rsid w:val="00240B17"/>
    <w:rsid w:val="00241D78"/>
    <w:rsid w:val="00246DAE"/>
    <w:rsid w:val="002538B4"/>
    <w:rsid w:val="002538E3"/>
    <w:rsid w:val="002540DF"/>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95E87"/>
    <w:rsid w:val="002C4932"/>
    <w:rsid w:val="002C50DF"/>
    <w:rsid w:val="002C54C1"/>
    <w:rsid w:val="002C7035"/>
    <w:rsid w:val="002D78B4"/>
    <w:rsid w:val="002D7C8E"/>
    <w:rsid w:val="002E160F"/>
    <w:rsid w:val="002E3CAE"/>
    <w:rsid w:val="002E3F91"/>
    <w:rsid w:val="002E480D"/>
    <w:rsid w:val="002E5F6B"/>
    <w:rsid w:val="002F084D"/>
    <w:rsid w:val="002F308B"/>
    <w:rsid w:val="003022D4"/>
    <w:rsid w:val="00310B4A"/>
    <w:rsid w:val="003238C3"/>
    <w:rsid w:val="0032392A"/>
    <w:rsid w:val="00323A82"/>
    <w:rsid w:val="00324BCD"/>
    <w:rsid w:val="00324D05"/>
    <w:rsid w:val="00324F30"/>
    <w:rsid w:val="00325023"/>
    <w:rsid w:val="00325FD8"/>
    <w:rsid w:val="003265B9"/>
    <w:rsid w:val="00327232"/>
    <w:rsid w:val="00331182"/>
    <w:rsid w:val="00340EE0"/>
    <w:rsid w:val="00343032"/>
    <w:rsid w:val="00352D2C"/>
    <w:rsid w:val="0035658A"/>
    <w:rsid w:val="00364141"/>
    <w:rsid w:val="00367EF6"/>
    <w:rsid w:val="00373F2A"/>
    <w:rsid w:val="003779A2"/>
    <w:rsid w:val="0038139C"/>
    <w:rsid w:val="00381D92"/>
    <w:rsid w:val="0038360C"/>
    <w:rsid w:val="00386157"/>
    <w:rsid w:val="00386ADE"/>
    <w:rsid w:val="00391E14"/>
    <w:rsid w:val="003959F6"/>
    <w:rsid w:val="003A73C1"/>
    <w:rsid w:val="003B791E"/>
    <w:rsid w:val="003C164D"/>
    <w:rsid w:val="003C609E"/>
    <w:rsid w:val="003C6275"/>
    <w:rsid w:val="003C66D1"/>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78B"/>
    <w:rsid w:val="00416A59"/>
    <w:rsid w:val="00416C6F"/>
    <w:rsid w:val="00417CA8"/>
    <w:rsid w:val="00417E42"/>
    <w:rsid w:val="0042190C"/>
    <w:rsid w:val="00425359"/>
    <w:rsid w:val="004316D7"/>
    <w:rsid w:val="00431EDA"/>
    <w:rsid w:val="0043231C"/>
    <w:rsid w:val="00432470"/>
    <w:rsid w:val="00435447"/>
    <w:rsid w:val="00441EA1"/>
    <w:rsid w:val="00445798"/>
    <w:rsid w:val="0044725C"/>
    <w:rsid w:val="00447465"/>
    <w:rsid w:val="00453B1D"/>
    <w:rsid w:val="00455CBE"/>
    <w:rsid w:val="00455EB7"/>
    <w:rsid w:val="00455FD5"/>
    <w:rsid w:val="00457E67"/>
    <w:rsid w:val="00460E8A"/>
    <w:rsid w:val="0046230A"/>
    <w:rsid w:val="00462C95"/>
    <w:rsid w:val="0046486A"/>
    <w:rsid w:val="00464F44"/>
    <w:rsid w:val="00473A3D"/>
    <w:rsid w:val="004764B3"/>
    <w:rsid w:val="004772C2"/>
    <w:rsid w:val="004773FC"/>
    <w:rsid w:val="00477FB8"/>
    <w:rsid w:val="00480328"/>
    <w:rsid w:val="00481A64"/>
    <w:rsid w:val="004834FC"/>
    <w:rsid w:val="00483B15"/>
    <w:rsid w:val="00483FB9"/>
    <w:rsid w:val="00491452"/>
    <w:rsid w:val="0049465E"/>
    <w:rsid w:val="00494AE7"/>
    <w:rsid w:val="004A030A"/>
    <w:rsid w:val="004A2339"/>
    <w:rsid w:val="004B05B0"/>
    <w:rsid w:val="004B0CAC"/>
    <w:rsid w:val="004B19B5"/>
    <w:rsid w:val="004B1D7D"/>
    <w:rsid w:val="004B460A"/>
    <w:rsid w:val="004C0212"/>
    <w:rsid w:val="004C05F9"/>
    <w:rsid w:val="004D087F"/>
    <w:rsid w:val="004D551E"/>
    <w:rsid w:val="004E0194"/>
    <w:rsid w:val="004E37D5"/>
    <w:rsid w:val="004E6184"/>
    <w:rsid w:val="004F1471"/>
    <w:rsid w:val="004F3FE8"/>
    <w:rsid w:val="004F5B21"/>
    <w:rsid w:val="004F5DF9"/>
    <w:rsid w:val="004F66B4"/>
    <w:rsid w:val="004F78C6"/>
    <w:rsid w:val="00500726"/>
    <w:rsid w:val="0050224C"/>
    <w:rsid w:val="00503208"/>
    <w:rsid w:val="005037A6"/>
    <w:rsid w:val="00512D53"/>
    <w:rsid w:val="00514883"/>
    <w:rsid w:val="00516B83"/>
    <w:rsid w:val="0053132E"/>
    <w:rsid w:val="00544112"/>
    <w:rsid w:val="00546070"/>
    <w:rsid w:val="00553BF9"/>
    <w:rsid w:val="0055784F"/>
    <w:rsid w:val="00561C04"/>
    <w:rsid w:val="0056213B"/>
    <w:rsid w:val="00562672"/>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F208E"/>
    <w:rsid w:val="005F64F4"/>
    <w:rsid w:val="005F6F64"/>
    <w:rsid w:val="005F7B0A"/>
    <w:rsid w:val="00600604"/>
    <w:rsid w:val="00601C20"/>
    <w:rsid w:val="00601FCB"/>
    <w:rsid w:val="00605C11"/>
    <w:rsid w:val="00606440"/>
    <w:rsid w:val="006078C2"/>
    <w:rsid w:val="00613DC5"/>
    <w:rsid w:val="006171A9"/>
    <w:rsid w:val="006207D7"/>
    <w:rsid w:val="00623436"/>
    <w:rsid w:val="00625193"/>
    <w:rsid w:val="00640F39"/>
    <w:rsid w:val="00655AAF"/>
    <w:rsid w:val="00656A30"/>
    <w:rsid w:val="00662AC4"/>
    <w:rsid w:val="006673E7"/>
    <w:rsid w:val="00674964"/>
    <w:rsid w:val="00680B7E"/>
    <w:rsid w:val="00683B94"/>
    <w:rsid w:val="00686692"/>
    <w:rsid w:val="0068764A"/>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2F57"/>
    <w:rsid w:val="006E721C"/>
    <w:rsid w:val="006F3EE2"/>
    <w:rsid w:val="006F7BAF"/>
    <w:rsid w:val="00700CBD"/>
    <w:rsid w:val="0070207F"/>
    <w:rsid w:val="007028C7"/>
    <w:rsid w:val="00704462"/>
    <w:rsid w:val="00710C7E"/>
    <w:rsid w:val="00714E7C"/>
    <w:rsid w:val="007152C7"/>
    <w:rsid w:val="00723039"/>
    <w:rsid w:val="0073044F"/>
    <w:rsid w:val="00732294"/>
    <w:rsid w:val="00733DE0"/>
    <w:rsid w:val="007357C5"/>
    <w:rsid w:val="00736C27"/>
    <w:rsid w:val="0074032D"/>
    <w:rsid w:val="00740D25"/>
    <w:rsid w:val="00741328"/>
    <w:rsid w:val="00741723"/>
    <w:rsid w:val="0075127F"/>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021"/>
    <w:rsid w:val="007B19CE"/>
    <w:rsid w:val="007B2130"/>
    <w:rsid w:val="007B7C23"/>
    <w:rsid w:val="007C0255"/>
    <w:rsid w:val="007C09C8"/>
    <w:rsid w:val="007C0C22"/>
    <w:rsid w:val="007C13ED"/>
    <w:rsid w:val="007C2707"/>
    <w:rsid w:val="007C2ACC"/>
    <w:rsid w:val="007D34BE"/>
    <w:rsid w:val="007D3572"/>
    <w:rsid w:val="007D501A"/>
    <w:rsid w:val="007E285B"/>
    <w:rsid w:val="007E3F65"/>
    <w:rsid w:val="007E4F6C"/>
    <w:rsid w:val="007E5253"/>
    <w:rsid w:val="007E57A5"/>
    <w:rsid w:val="007E68F6"/>
    <w:rsid w:val="007E6EF9"/>
    <w:rsid w:val="007F0511"/>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473B"/>
    <w:rsid w:val="00886C81"/>
    <w:rsid w:val="00887874"/>
    <w:rsid w:val="008941DB"/>
    <w:rsid w:val="00895D7E"/>
    <w:rsid w:val="008A16EA"/>
    <w:rsid w:val="008A580D"/>
    <w:rsid w:val="008B6162"/>
    <w:rsid w:val="008C04DF"/>
    <w:rsid w:val="008C0820"/>
    <w:rsid w:val="008C1971"/>
    <w:rsid w:val="008C1AF7"/>
    <w:rsid w:val="008C57D5"/>
    <w:rsid w:val="008D0EE5"/>
    <w:rsid w:val="008D2CAF"/>
    <w:rsid w:val="008D3A48"/>
    <w:rsid w:val="008D3ACE"/>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17B8"/>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2D54"/>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27A29"/>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2B09"/>
    <w:rsid w:val="00AA3F31"/>
    <w:rsid w:val="00AA4625"/>
    <w:rsid w:val="00AA720D"/>
    <w:rsid w:val="00AB099E"/>
    <w:rsid w:val="00AB1F1A"/>
    <w:rsid w:val="00AB3534"/>
    <w:rsid w:val="00AC4F34"/>
    <w:rsid w:val="00AC6401"/>
    <w:rsid w:val="00AC6EC2"/>
    <w:rsid w:val="00AE3A63"/>
    <w:rsid w:val="00AE5435"/>
    <w:rsid w:val="00AF295B"/>
    <w:rsid w:val="00AF3ABE"/>
    <w:rsid w:val="00AF61CB"/>
    <w:rsid w:val="00AF6959"/>
    <w:rsid w:val="00AF6D17"/>
    <w:rsid w:val="00B00520"/>
    <w:rsid w:val="00B00F8E"/>
    <w:rsid w:val="00B014D0"/>
    <w:rsid w:val="00B025B6"/>
    <w:rsid w:val="00B027FA"/>
    <w:rsid w:val="00B03CB0"/>
    <w:rsid w:val="00B03FA9"/>
    <w:rsid w:val="00B041A9"/>
    <w:rsid w:val="00B0465E"/>
    <w:rsid w:val="00B1218F"/>
    <w:rsid w:val="00B13262"/>
    <w:rsid w:val="00B14C20"/>
    <w:rsid w:val="00B14E3C"/>
    <w:rsid w:val="00B16238"/>
    <w:rsid w:val="00B23F8B"/>
    <w:rsid w:val="00B27724"/>
    <w:rsid w:val="00B30F3D"/>
    <w:rsid w:val="00B42057"/>
    <w:rsid w:val="00B432A0"/>
    <w:rsid w:val="00B4738B"/>
    <w:rsid w:val="00B50E09"/>
    <w:rsid w:val="00B50FBF"/>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1567"/>
    <w:rsid w:val="00B92C22"/>
    <w:rsid w:val="00B92C59"/>
    <w:rsid w:val="00B95BFE"/>
    <w:rsid w:val="00B96C22"/>
    <w:rsid w:val="00B972D3"/>
    <w:rsid w:val="00BA1705"/>
    <w:rsid w:val="00BA2132"/>
    <w:rsid w:val="00BA38D8"/>
    <w:rsid w:val="00BA5AAA"/>
    <w:rsid w:val="00BB1522"/>
    <w:rsid w:val="00BB227C"/>
    <w:rsid w:val="00BB4389"/>
    <w:rsid w:val="00BB61BE"/>
    <w:rsid w:val="00BB61C1"/>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0717E"/>
    <w:rsid w:val="00C10CC7"/>
    <w:rsid w:val="00C13225"/>
    <w:rsid w:val="00C14C86"/>
    <w:rsid w:val="00C15A31"/>
    <w:rsid w:val="00C229F8"/>
    <w:rsid w:val="00C25803"/>
    <w:rsid w:val="00C26FD3"/>
    <w:rsid w:val="00C322F1"/>
    <w:rsid w:val="00C33284"/>
    <w:rsid w:val="00C371FA"/>
    <w:rsid w:val="00C4251D"/>
    <w:rsid w:val="00C44F67"/>
    <w:rsid w:val="00C46167"/>
    <w:rsid w:val="00C46F61"/>
    <w:rsid w:val="00C47BB2"/>
    <w:rsid w:val="00C51C28"/>
    <w:rsid w:val="00C53456"/>
    <w:rsid w:val="00C60C2D"/>
    <w:rsid w:val="00C6446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6ABB"/>
    <w:rsid w:val="00CE5CF2"/>
    <w:rsid w:val="00CE7828"/>
    <w:rsid w:val="00CF1043"/>
    <w:rsid w:val="00CF6817"/>
    <w:rsid w:val="00D00A5D"/>
    <w:rsid w:val="00D00A87"/>
    <w:rsid w:val="00D02F2F"/>
    <w:rsid w:val="00D04D56"/>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87FB5"/>
    <w:rsid w:val="00D92DC7"/>
    <w:rsid w:val="00D938C1"/>
    <w:rsid w:val="00DA28A7"/>
    <w:rsid w:val="00DA30CA"/>
    <w:rsid w:val="00DA41A6"/>
    <w:rsid w:val="00DA47A8"/>
    <w:rsid w:val="00DA7D17"/>
    <w:rsid w:val="00DB3592"/>
    <w:rsid w:val="00DB4C93"/>
    <w:rsid w:val="00DC1CCB"/>
    <w:rsid w:val="00DC3F8A"/>
    <w:rsid w:val="00DD0070"/>
    <w:rsid w:val="00DD46E9"/>
    <w:rsid w:val="00DE0D00"/>
    <w:rsid w:val="00DE16CD"/>
    <w:rsid w:val="00DE3E8D"/>
    <w:rsid w:val="00DE6492"/>
    <w:rsid w:val="00DE7070"/>
    <w:rsid w:val="00DE739C"/>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099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14B"/>
    <w:rsid w:val="00E8573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2D0C"/>
    <w:rsid w:val="00EF5D36"/>
    <w:rsid w:val="00EF66FC"/>
    <w:rsid w:val="00EF6C43"/>
    <w:rsid w:val="00EF7D88"/>
    <w:rsid w:val="00F00D14"/>
    <w:rsid w:val="00F0135B"/>
    <w:rsid w:val="00F02E73"/>
    <w:rsid w:val="00F10140"/>
    <w:rsid w:val="00F11BAF"/>
    <w:rsid w:val="00F11CE3"/>
    <w:rsid w:val="00F16FDF"/>
    <w:rsid w:val="00F17DCE"/>
    <w:rsid w:val="00F22750"/>
    <w:rsid w:val="00F23CA1"/>
    <w:rsid w:val="00F2401A"/>
    <w:rsid w:val="00F2565D"/>
    <w:rsid w:val="00F2646F"/>
    <w:rsid w:val="00F267FF"/>
    <w:rsid w:val="00F27CBF"/>
    <w:rsid w:val="00F27E65"/>
    <w:rsid w:val="00F3001B"/>
    <w:rsid w:val="00F30246"/>
    <w:rsid w:val="00F345AA"/>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1251"/>
    <w:rsid w:val="00F72DEA"/>
    <w:rsid w:val="00F803B0"/>
    <w:rsid w:val="00F8085F"/>
    <w:rsid w:val="00F80E14"/>
    <w:rsid w:val="00F80E25"/>
    <w:rsid w:val="00F86464"/>
    <w:rsid w:val="00F869B7"/>
    <w:rsid w:val="00F9005C"/>
    <w:rsid w:val="00F904AE"/>
    <w:rsid w:val="00FA03B1"/>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4334"/>
    <w:rsid w:val="00FD7077"/>
    <w:rsid w:val="00FE3722"/>
    <w:rsid w:val="00FE5BBC"/>
    <w:rsid w:val="00FF15BD"/>
    <w:rsid w:val="00FF507F"/>
    <w:rsid w:val="00FF649E"/>
    <w:rsid w:val="00FF6FE3"/>
    <w:rsid w:val="36AD5E39"/>
    <w:rsid w:val="3C9B0172"/>
    <w:rsid w:val="57A62F7E"/>
    <w:rsid w:val="6DCA591E"/>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pPr>
      <w:spacing w:after="200" w:line="276" w:lineRule="auto"/>
    </w:pPr>
    <w:rPr>
      <w:rFonts w:ascii="Arial" w:hAnsi="Arial" w:eastAsia="Times New Roman" w:cs="Tahoma"/>
      <w:szCs w:val="24"/>
      <w:lang w:val="pt-BR" w:eastAsia="pt-BR" w:bidi="ar-SA"/>
    </w:rPr>
  </w:style>
  <w:style w:type="paragraph" w:styleId="2">
    <w:name w:val="heading 1"/>
    <w:basedOn w:val="1"/>
    <w:next w:val="1"/>
    <w:link w:val="32"/>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qFormat/>
    <w:uiPriority w:val="0"/>
    <w:pPr>
      <w:keepNext/>
      <w:tabs>
        <w:tab w:val="left" w:pos="1701"/>
      </w:tabs>
      <w:ind w:right="-1"/>
      <w:jc w:val="center"/>
      <w:outlineLvl w:val="1"/>
    </w:pPr>
    <w:rPr>
      <w:rFonts w:ascii="Times New Roman" w:hAnsi="Times New Roman" w:cs="Times New Roman"/>
      <w:b/>
      <w:color w:val="000000"/>
      <w:szCs w:val="20"/>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43"/>
    <w:unhideWhenUsed/>
    <w:qFormat/>
    <w:uiPriority w:val="0"/>
    <w:pPr>
      <w:suppressAutoHyphens/>
      <w:spacing w:line="360" w:lineRule="auto"/>
      <w:jc w:val="both"/>
    </w:pPr>
    <w:rPr>
      <w:rFonts w:cs="Times New Roman"/>
      <w:sz w:val="24"/>
      <w:szCs w:val="20"/>
      <w:lang w:eastAsia="ar-SA"/>
    </w:rPr>
  </w:style>
  <w:style w:type="paragraph" w:styleId="5">
    <w:name w:val="annotation text"/>
    <w:basedOn w:val="1"/>
    <w:link w:val="34"/>
    <w:unhideWhenUsed/>
    <w:qFormat/>
    <w:uiPriority w:val="0"/>
    <w:rPr>
      <w:sz w:val="24"/>
    </w:rPr>
  </w:style>
  <w:style w:type="paragraph" w:styleId="6">
    <w:name w:val="List Bullet 5"/>
    <w:basedOn w:val="1"/>
    <w:qFormat/>
    <w:uiPriority w:val="0"/>
    <w:pPr>
      <w:numPr>
        <w:ilvl w:val="0"/>
        <w:numId w:val="1"/>
      </w:numPr>
      <w:contextualSpacing/>
    </w:pPr>
  </w:style>
  <w:style w:type="paragraph" w:styleId="7">
    <w:name w:val="Normal (Web)"/>
    <w:basedOn w:val="1"/>
    <w:uiPriority w:val="99"/>
    <w:pPr>
      <w:spacing w:before="100" w:beforeAutospacing="1" w:after="100" w:afterAutospacing="1"/>
    </w:pPr>
    <w:rPr>
      <w:rFonts w:ascii="Times New Roman" w:hAnsi="Times New Roman" w:cs="Times New Roman"/>
    </w:rPr>
  </w:style>
  <w:style w:type="paragraph" w:styleId="8">
    <w:name w:val="header"/>
    <w:basedOn w:val="1"/>
    <w:link w:val="29"/>
    <w:unhideWhenUsed/>
    <w:uiPriority w:val="99"/>
    <w:pPr>
      <w:tabs>
        <w:tab w:val="center" w:pos="4252"/>
        <w:tab w:val="right" w:pos="8504"/>
      </w:tabs>
    </w:pPr>
  </w:style>
  <w:style w:type="paragraph" w:styleId="9">
    <w:name w:val="annotation subject"/>
    <w:basedOn w:val="5"/>
    <w:next w:val="5"/>
    <w:link w:val="35"/>
    <w:semiHidden/>
    <w:unhideWhenUsed/>
    <w:uiPriority w:val="0"/>
    <w:rPr>
      <w:b/>
      <w:bCs/>
      <w:sz w:val="20"/>
      <w:szCs w:val="20"/>
    </w:rPr>
  </w:style>
  <w:style w:type="paragraph" w:styleId="10">
    <w:name w:val="footer"/>
    <w:basedOn w:val="1"/>
    <w:link w:val="30"/>
    <w:unhideWhenUsed/>
    <w:uiPriority w:val="99"/>
    <w:pPr>
      <w:tabs>
        <w:tab w:val="center" w:pos="4252"/>
        <w:tab w:val="right" w:pos="8504"/>
      </w:tabs>
    </w:pPr>
  </w:style>
  <w:style w:type="paragraph" w:styleId="11">
    <w:name w:val="Balloon Text"/>
    <w:basedOn w:val="1"/>
    <w:link w:val="18"/>
    <w:uiPriority w:val="0"/>
    <w:rPr>
      <w:rFonts w:ascii="Tahoma" w:hAnsi="Tahoma"/>
      <w:sz w:val="16"/>
      <w:szCs w:val="16"/>
    </w:rPr>
  </w:style>
  <w:style w:type="character" w:styleId="13">
    <w:name w:val="annotation reference"/>
    <w:basedOn w:val="12"/>
    <w:semiHidden/>
    <w:unhideWhenUsed/>
    <w:uiPriority w:val="0"/>
    <w:rPr>
      <w:sz w:val="18"/>
      <w:szCs w:val="18"/>
    </w:rPr>
  </w:style>
  <w:style w:type="character" w:styleId="14">
    <w:name w:val="Hyperlink"/>
    <w:uiPriority w:val="0"/>
    <w:rPr>
      <w:color w:val="000080"/>
      <w:u w:val="single"/>
    </w:rPr>
  </w:style>
  <w:style w:type="table" w:styleId="16">
    <w:name w:val="Table Grid"/>
    <w:basedOn w:val="15"/>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34"/>
    <w:pPr>
      <w:ind w:left="720"/>
      <w:contextualSpacing/>
    </w:pPr>
  </w:style>
  <w:style w:type="character" w:customStyle="1" w:styleId="18">
    <w:name w:val="Texto de balão Char"/>
    <w:link w:val="11"/>
    <w:uiPriority w:val="0"/>
    <w:rPr>
      <w:rFonts w:ascii="Tahoma" w:hAnsi="Tahoma" w:cs="Tahoma"/>
      <w:sz w:val="16"/>
      <w:szCs w:val="16"/>
    </w:rPr>
  </w:style>
  <w:style w:type="character" w:customStyle="1" w:styleId="19">
    <w:name w:val="Título 2 Char"/>
    <w:link w:val="3"/>
    <w:uiPriority w:val="0"/>
    <w:rPr>
      <w:b/>
      <w:color w:val="000000"/>
      <w:sz w:val="24"/>
    </w:rPr>
  </w:style>
  <w:style w:type="paragraph" w:customStyle="1" w:styleId="20">
    <w:name w:val="Nível 2"/>
    <w:basedOn w:val="1"/>
    <w:next w:val="1"/>
    <w:uiPriority w:val="0"/>
    <w:pPr>
      <w:spacing w:after="120"/>
      <w:jc w:val="both"/>
    </w:pPr>
    <w:rPr>
      <w:rFonts w:cs="Times New Roman"/>
      <w:b/>
      <w:szCs w:val="20"/>
    </w:rPr>
  </w:style>
  <w:style w:type="character" w:customStyle="1" w:styleId="21">
    <w:name w:val="normal__char1"/>
    <w:uiPriority w:val="0"/>
    <w:rPr>
      <w:rFonts w:hint="default" w:ascii="Arial" w:hAnsi="Arial" w:cs="Arial"/>
      <w:sz w:val="24"/>
      <w:szCs w:val="24"/>
      <w:u w:val="none"/>
    </w:rPr>
  </w:style>
  <w:style w:type="character" w:customStyle="1" w:styleId="22">
    <w:name w:val="apple-style-span"/>
    <w:basedOn w:val="12"/>
    <w:qFormat/>
    <w:uiPriority w:val="0"/>
  </w:style>
  <w:style w:type="paragraph" w:styleId="23">
    <w:name w:val="Quote"/>
    <w:basedOn w:val="1"/>
    <w:next w:val="1"/>
    <w:link w:val="2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24">
    <w:name w:val="Citação Char"/>
    <w:link w:val="23"/>
    <w:uiPriority w:val="0"/>
    <w:rPr>
      <w:rFonts w:ascii="Ecofont_Spranq_eco_Sans" w:hAnsi="Ecofont_Spranq_eco_Sans" w:eastAsia="Calibri" w:cs="Tahoma"/>
      <w:i/>
      <w:iCs/>
      <w:color w:val="000000"/>
      <w:szCs w:val="24"/>
      <w:shd w:val="clear" w:color="auto" w:fill="FFFFCC"/>
      <w:lang w:eastAsia="en-US"/>
    </w:rPr>
  </w:style>
  <w:style w:type="paragraph" w:customStyle="1" w:styleId="25">
    <w:name w:val="citação 2"/>
    <w:basedOn w:val="23"/>
    <w:link w:val="26"/>
    <w:qFormat/>
    <w:uiPriority w:val="0"/>
    <w:rPr>
      <w:szCs w:val="20"/>
    </w:rPr>
  </w:style>
  <w:style w:type="character" w:customStyle="1" w:styleId="26">
    <w:name w:val="citação 2 Char"/>
    <w:basedOn w:val="24"/>
    <w:link w:val="25"/>
    <w:uiPriority w:val="0"/>
    <w:rPr>
      <w:rFonts w:ascii="Ecofont_Spranq_eco_Sans" w:hAnsi="Ecofont_Spranq_eco_Sans" w:eastAsia="Calibri" w:cs="Tahoma"/>
      <w:color w:val="000000"/>
      <w:szCs w:val="24"/>
      <w:shd w:val="clear" w:color="auto" w:fill="FFFFCC"/>
      <w:lang w:eastAsia="en-US"/>
    </w:rPr>
  </w:style>
  <w:style w:type="paragraph" w:customStyle="1" w:styleId="27">
    <w:name w:val="Grade Colorida - Ênfase 11"/>
    <w:basedOn w:val="1"/>
    <w:next w:val="1"/>
    <w:link w:val="2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28">
    <w:name w:val="Grade Colorida - Ênfase 1 Char"/>
    <w:link w:val="27"/>
    <w:uiPriority w:val="29"/>
    <w:rPr>
      <w:rFonts w:ascii="Ecofont_Spranq_eco_Sans" w:hAnsi="Ecofont_Spranq_eco_Sans" w:eastAsia="Calibri"/>
      <w:i/>
      <w:iCs/>
      <w:color w:val="000000"/>
      <w:szCs w:val="24"/>
      <w:shd w:val="clear" w:color="auto" w:fill="FFFFCC"/>
      <w:lang w:val="zh-CN" w:eastAsia="en-US"/>
    </w:rPr>
  </w:style>
  <w:style w:type="character" w:customStyle="1" w:styleId="29">
    <w:name w:val="Cabeçalho Char"/>
    <w:basedOn w:val="12"/>
    <w:link w:val="8"/>
    <w:qFormat/>
    <w:uiPriority w:val="99"/>
    <w:rPr>
      <w:rFonts w:ascii="Ecofont_Spranq_eco_Sans" w:hAnsi="Ecofont_Spranq_eco_Sans" w:cs="Tahoma"/>
      <w:sz w:val="24"/>
      <w:szCs w:val="24"/>
    </w:rPr>
  </w:style>
  <w:style w:type="character" w:customStyle="1" w:styleId="30">
    <w:name w:val="Rodapé Char"/>
    <w:basedOn w:val="12"/>
    <w:link w:val="10"/>
    <w:uiPriority w:val="99"/>
    <w:rPr>
      <w:rFonts w:ascii="Ecofont_Spranq_eco_Sans" w:hAnsi="Ecofont_Spranq_eco_Sans" w:cs="Tahoma"/>
      <w:sz w:val="24"/>
      <w:szCs w:val="24"/>
    </w:rPr>
  </w:style>
  <w:style w:type="paragraph" w:customStyle="1" w:styleId="31">
    <w:name w:val="Nivel1"/>
    <w:basedOn w:val="2"/>
    <w:next w:val="1"/>
    <w:link w:val="33"/>
    <w:qFormat/>
    <w:uiPriority w:val="0"/>
    <w:pPr>
      <w:numPr>
        <w:ilvl w:val="0"/>
        <w:numId w:val="2"/>
      </w:numPr>
      <w:spacing w:before="480" w:after="120"/>
      <w:jc w:val="both"/>
    </w:pPr>
    <w:rPr>
      <w:rFonts w:ascii="Arial" w:hAnsi="Arial" w:cs="Arial"/>
      <w:b/>
      <w:color w:val="000000"/>
      <w:sz w:val="20"/>
      <w:szCs w:val="20"/>
    </w:rPr>
  </w:style>
  <w:style w:type="character" w:customStyle="1" w:styleId="32">
    <w:name w:val="Título 1 Char"/>
    <w:basedOn w:val="12"/>
    <w:link w:val="2"/>
    <w:uiPriority w:val="0"/>
    <w:rPr>
      <w:rFonts w:asciiTheme="majorHAnsi" w:hAnsiTheme="majorHAnsi" w:eastAsiaTheme="majorEastAsia" w:cstheme="majorBidi"/>
      <w:color w:val="376092" w:themeColor="accent1" w:themeShade="BF"/>
      <w:sz w:val="32"/>
      <w:szCs w:val="32"/>
    </w:rPr>
  </w:style>
  <w:style w:type="character" w:customStyle="1" w:styleId="33">
    <w:name w:val="Nivel1 Char"/>
    <w:basedOn w:val="32"/>
    <w:link w:val="31"/>
    <w:uiPriority w:val="0"/>
    <w:rPr>
      <w:rFonts w:ascii="Arial" w:hAnsi="Arial" w:cs="Arial" w:eastAsiaTheme="majorEastAsia"/>
      <w:b/>
      <w:color w:val="000000"/>
      <w:sz w:val="32"/>
      <w:szCs w:val="32"/>
    </w:rPr>
  </w:style>
  <w:style w:type="character" w:customStyle="1" w:styleId="34">
    <w:name w:val="Texto de comentário Char"/>
    <w:basedOn w:val="12"/>
    <w:link w:val="5"/>
    <w:uiPriority w:val="0"/>
    <w:rPr>
      <w:rFonts w:ascii="Arial" w:hAnsi="Arial" w:cs="Tahoma"/>
      <w:sz w:val="24"/>
      <w:szCs w:val="24"/>
    </w:rPr>
  </w:style>
  <w:style w:type="character" w:customStyle="1" w:styleId="35">
    <w:name w:val="Assunto do comentário Char"/>
    <w:basedOn w:val="34"/>
    <w:link w:val="9"/>
    <w:semiHidden/>
    <w:uiPriority w:val="0"/>
    <w:rPr>
      <w:rFonts w:ascii="Arial" w:hAnsi="Arial" w:cs="Tahoma"/>
      <w:b/>
      <w:bCs/>
      <w:sz w:val="24"/>
      <w:szCs w:val="24"/>
    </w:rPr>
  </w:style>
  <w:style w:type="paragraph" w:customStyle="1" w:styleId="36">
    <w:name w:val="Nivel 01"/>
    <w:basedOn w:val="2"/>
    <w:next w:val="1"/>
    <w:link w:val="37"/>
    <w:qFormat/>
    <w:uiPriority w:val="0"/>
    <w:pPr>
      <w:tabs>
        <w:tab w:val="left" w:pos="567"/>
      </w:tabs>
      <w:jc w:val="both"/>
    </w:pPr>
    <w:rPr>
      <w:rFonts w:ascii="Ecofont_Spranq_eco_Sans" w:hAnsi="Ecofont_Spranq_eco_Sans" w:cs="Times New Roman"/>
      <w:b/>
      <w:bCs/>
      <w:color w:val="000000"/>
      <w:sz w:val="20"/>
      <w:szCs w:val="20"/>
    </w:rPr>
  </w:style>
  <w:style w:type="character" w:customStyle="1" w:styleId="37">
    <w:name w:val="Nivel 01 Char"/>
    <w:basedOn w:val="12"/>
    <w:link w:val="36"/>
    <w:uiPriority w:val="0"/>
    <w:rPr>
      <w:rFonts w:ascii="Ecofont_Spranq_eco_Sans" w:hAnsi="Ecofont_Spranq_eco_Sans" w:eastAsiaTheme="majorEastAsia"/>
      <w:b/>
      <w:bCs/>
      <w:color w:val="000000"/>
    </w:rPr>
  </w:style>
  <w:style w:type="paragraph" w:customStyle="1" w:styleId="38">
    <w:name w:val="Nivel_01"/>
    <w:basedOn w:val="2"/>
    <w:link w:val="39"/>
    <w:qFormat/>
    <w:uiPriority w:val="0"/>
    <w:pPr>
      <w:tabs>
        <w:tab w:val="left" w:pos="567"/>
      </w:tabs>
      <w:jc w:val="both"/>
    </w:pPr>
    <w:rPr>
      <w:rFonts w:ascii="Ecofont_Spranq_eco_Sans" w:hAnsi="Ecofont_Spranq_eco_Sans" w:cs="Times New Roman"/>
      <w:b/>
      <w:bCs/>
      <w:color w:val="auto"/>
      <w:sz w:val="20"/>
      <w:szCs w:val="20"/>
    </w:rPr>
  </w:style>
  <w:style w:type="character" w:customStyle="1" w:styleId="39">
    <w:name w:val="Nivel_01 Char"/>
    <w:basedOn w:val="32"/>
    <w:link w:val="38"/>
    <w:uiPriority w:val="0"/>
    <w:rPr>
      <w:rFonts w:ascii="Ecofont_Spranq_eco_Sans" w:hAnsi="Ecofont_Spranq_eco_Sans" w:eastAsiaTheme="majorEastAsia" w:cstheme="majorBidi"/>
      <w:b/>
      <w:bCs/>
      <w:color w:val="376092" w:themeColor="accent1" w:themeShade="BF"/>
      <w:sz w:val="32"/>
      <w:szCs w:val="32"/>
    </w:rPr>
  </w:style>
  <w:style w:type="paragraph" w:customStyle="1" w:styleId="4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ascii="Ecofont_Spranq_eco_Sans" w:hAnsi="Ecofont_Spranq_eco_Sans" w:eastAsia="Calibri"/>
      <w:i/>
      <w:iCs/>
      <w:color w:val="000000"/>
      <w:lang w:eastAsia="zh-CN"/>
    </w:rPr>
  </w:style>
  <w:style w:type="paragraph" w:customStyle="1" w:styleId="41">
    <w:name w:val="Parágrafo da Lista1"/>
    <w:basedOn w:val="1"/>
    <w:qFormat/>
    <w:uiPriority w:val="0"/>
    <w:pPr>
      <w:ind w:left="720"/>
    </w:pPr>
    <w:rPr>
      <w:rFonts w:ascii="Ecofont_Spranq_eco_Sans" w:hAnsi="Ecofont_Spranq_eco_Sans" w:cs="Ecofont_Spranq_eco_Sans"/>
      <w:sz w:val="24"/>
    </w:rPr>
  </w:style>
  <w:style w:type="paragraph" w:customStyle="1" w:styleId="42">
    <w:name w:val="Default"/>
    <w:uiPriority w:val="0"/>
    <w:pPr>
      <w:autoSpaceDE w:val="0"/>
      <w:autoSpaceDN w:val="0"/>
      <w:adjustRightInd w:val="0"/>
      <w:spacing w:after="200" w:line="276" w:lineRule="auto"/>
    </w:pPr>
    <w:rPr>
      <w:rFonts w:ascii="Garamond" w:hAnsi="Garamond" w:eastAsia="Calibri" w:cs="Garamond"/>
      <w:color w:val="000000"/>
      <w:sz w:val="24"/>
      <w:szCs w:val="24"/>
      <w:lang w:val="pt-BR" w:eastAsia="pt-BR" w:bidi="ar-SA"/>
    </w:rPr>
  </w:style>
  <w:style w:type="character" w:customStyle="1" w:styleId="43">
    <w:name w:val="Corpo de texto Char"/>
    <w:basedOn w:val="12"/>
    <w:link w:val="4"/>
    <w:uiPriority w:val="0"/>
    <w:rPr>
      <w:rFonts w:ascii="Arial" w:hAnsi="Arial"/>
      <w:sz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89699-A219-4913-BB0A-55D3ABCBF681}">
  <ds:schemaRefs/>
</ds:datastoreItem>
</file>

<file path=customXml/itemProps3.xml><?xml version="1.0" encoding="utf-8"?>
<ds:datastoreItem xmlns:ds="http://schemas.openxmlformats.org/officeDocument/2006/customXml" ds:itemID="{9E6D3583-6B98-4077-9C7C-B39895FE9F69}">
  <ds:schemaRefs/>
</ds:datastoreItem>
</file>

<file path=customXml/itemProps4.xml><?xml version="1.0" encoding="utf-8"?>
<ds:datastoreItem xmlns:ds="http://schemas.openxmlformats.org/officeDocument/2006/customXml" ds:itemID="{B6F4DC28-420F-4EC0-B634-F632762EE51C}">
  <ds:schemaRefs/>
</ds:datastoreItem>
</file>

<file path=customXml/itemProps5.xml><?xml version="1.0" encoding="utf-8"?>
<ds:datastoreItem xmlns:ds="http://schemas.openxmlformats.org/officeDocument/2006/customXml" ds:itemID="{6980718D-6FE4-400B-A348-4E4AD904146E}">
  <ds:schemaRefs/>
</ds:datastoreItem>
</file>

<file path=docProps/app.xml><?xml version="1.0" encoding="utf-8"?>
<Properties xmlns="http://schemas.openxmlformats.org/officeDocument/2006/extended-properties" xmlns:vt="http://schemas.openxmlformats.org/officeDocument/2006/docPropsVTypes">
  <Template>TR compras</Template>
  <Company>EDUARDO DOTTI</Company>
  <Pages>20</Pages>
  <Words>4719</Words>
  <Characters>25486</Characters>
  <Lines>212</Lines>
  <Paragraphs>60</Paragraphs>
  <TotalTime>63</TotalTime>
  <ScaleCrop>false</ScaleCrop>
  <LinksUpToDate>false</LinksUpToDate>
  <CharactersWithSpaces>30145</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2019-10-15T17:22:00Z</dcterms:created>
  <dc:creator>Adriano</dc:creator>
  <cp:lastModifiedBy>IFPB</cp:lastModifiedBy>
  <cp:lastPrinted>2020-05-22T12:25:00Z</cp:lastPrinted>
  <dcterms:modified xsi:type="dcterms:W3CDTF">2020-06-02T17:27:11Z</dcterms:modified>
  <dc:title>NOTAS EXPLICATIVAS</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1046-11.2.0.9363</vt:lpwstr>
  </property>
</Properties>
</file>