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01BC" w14:textId="77777777" w:rsidR="00E34A3F" w:rsidRDefault="00E34A3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I</w:t>
      </w:r>
    </w:p>
    <w:p w14:paraId="35B78513" w14:textId="0DF36449" w:rsidR="00E60AA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TERMO DE COMPROMISSO DO BOLSISTA </w:t>
      </w:r>
      <w:r>
        <w:rPr>
          <w:rFonts w:ascii="Arial" w:eastAsia="Arial" w:hAnsi="Arial" w:cs="Arial"/>
          <w:b/>
          <w:sz w:val="28"/>
          <w:szCs w:val="28"/>
        </w:rPr>
        <w:t>DISCENTE - FESTIN 2024</w:t>
      </w:r>
    </w:p>
    <w:p w14:paraId="5C78F3C8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84"/>
        <w:gridCol w:w="708"/>
        <w:gridCol w:w="1276"/>
        <w:gridCol w:w="3646"/>
      </w:tblGrid>
      <w:tr w:rsidR="00E60AA1" w14:paraId="08C7A859" w14:textId="77777777">
        <w:trPr>
          <w:trHeight w:val="340"/>
          <w:jc w:val="center"/>
        </w:trPr>
        <w:tc>
          <w:tcPr>
            <w:tcW w:w="10020" w:type="dxa"/>
            <w:gridSpan w:val="5"/>
            <w:shd w:val="clear" w:color="auto" w:fill="D9D9D9"/>
            <w:vAlign w:val="center"/>
          </w:tcPr>
          <w:p w14:paraId="272D1D3E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DO BOLSISTA –</w:t>
            </w:r>
            <w:r>
              <w:rPr>
                <w:rFonts w:ascii="Arial" w:eastAsia="Arial" w:hAnsi="Arial" w:cs="Arial"/>
                <w:b/>
              </w:rPr>
              <w:t xml:space="preserve"> DISCENTE</w:t>
            </w:r>
          </w:p>
        </w:tc>
      </w:tr>
      <w:tr w:rsidR="00E60AA1" w14:paraId="643248FB" w14:textId="77777777">
        <w:trPr>
          <w:trHeight w:val="340"/>
          <w:jc w:val="center"/>
        </w:trPr>
        <w:tc>
          <w:tcPr>
            <w:tcW w:w="6374" w:type="dxa"/>
            <w:gridSpan w:val="4"/>
          </w:tcPr>
          <w:p w14:paraId="6E92031F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Nome: </w:t>
            </w:r>
          </w:p>
        </w:tc>
        <w:tc>
          <w:tcPr>
            <w:tcW w:w="3646" w:type="dxa"/>
          </w:tcPr>
          <w:p w14:paraId="728E9D37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0AA1" w14:paraId="7D89F105" w14:textId="77777777">
        <w:trPr>
          <w:trHeight w:val="340"/>
          <w:jc w:val="center"/>
        </w:trPr>
        <w:tc>
          <w:tcPr>
            <w:tcW w:w="10020" w:type="dxa"/>
            <w:gridSpan w:val="5"/>
          </w:tcPr>
          <w:p w14:paraId="7826A4B7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60AA1" w14:paraId="05347CC0" w14:textId="77777777">
        <w:trPr>
          <w:trHeight w:val="340"/>
          <w:jc w:val="center"/>
        </w:trPr>
        <w:tc>
          <w:tcPr>
            <w:tcW w:w="4106" w:type="dxa"/>
          </w:tcPr>
          <w:p w14:paraId="2FF0466D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de Nascimento: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2FCA95F2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RG: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646" w:type="dxa"/>
          </w:tcPr>
          <w:p w14:paraId="09E7304C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Matrícula:</w:t>
            </w:r>
          </w:p>
        </w:tc>
      </w:tr>
      <w:tr w:rsidR="00E60AA1" w14:paraId="220ADB07" w14:textId="77777777">
        <w:trPr>
          <w:jc w:val="center"/>
        </w:trPr>
        <w:tc>
          <w:tcPr>
            <w:tcW w:w="6374" w:type="dxa"/>
            <w:gridSpan w:val="4"/>
          </w:tcPr>
          <w:p w14:paraId="49A27A83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Endereço:</w:t>
            </w:r>
          </w:p>
          <w:p w14:paraId="7942C63C" w14:textId="77777777" w:rsidR="00E60AA1" w:rsidRDefault="00E60AA1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11BBD30D" w14:textId="77777777" w:rsidR="00E60AA1" w:rsidRDefault="00E60AA1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646" w:type="dxa"/>
          </w:tcPr>
          <w:p w14:paraId="6D9C58E2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CEP: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0AA1" w14:paraId="6E6EEBAD" w14:textId="77777777">
        <w:trPr>
          <w:trHeight w:val="340"/>
          <w:jc w:val="center"/>
        </w:trPr>
        <w:tc>
          <w:tcPr>
            <w:tcW w:w="5098" w:type="dxa"/>
            <w:gridSpan w:val="3"/>
          </w:tcPr>
          <w:p w14:paraId="15815803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Nacionalidade: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22" w:type="dxa"/>
            <w:gridSpan w:val="2"/>
          </w:tcPr>
          <w:p w14:paraId="1E1A34F9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Naturalidade: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0AA1" w14:paraId="266F2569" w14:textId="77777777">
        <w:trPr>
          <w:trHeight w:val="340"/>
          <w:jc w:val="center"/>
        </w:trPr>
        <w:tc>
          <w:tcPr>
            <w:tcW w:w="4390" w:type="dxa"/>
            <w:gridSpan w:val="2"/>
          </w:tcPr>
          <w:p w14:paraId="30544708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630" w:type="dxa"/>
            <w:gridSpan w:val="3"/>
          </w:tcPr>
          <w:p w14:paraId="2C35C910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Telefones: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0AA1" w14:paraId="03C74298" w14:textId="77777777">
        <w:trPr>
          <w:trHeight w:val="340"/>
          <w:jc w:val="center"/>
        </w:trPr>
        <w:tc>
          <w:tcPr>
            <w:tcW w:w="10020" w:type="dxa"/>
            <w:gridSpan w:val="5"/>
          </w:tcPr>
          <w:p w14:paraId="10FAE246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E526650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2551"/>
        <w:gridCol w:w="2087"/>
      </w:tblGrid>
      <w:tr w:rsidR="00E60AA1" w14:paraId="4AB82BA0" w14:textId="77777777">
        <w:trPr>
          <w:trHeight w:val="340"/>
          <w:jc w:val="center"/>
        </w:trPr>
        <w:tc>
          <w:tcPr>
            <w:tcW w:w="10020" w:type="dxa"/>
            <w:gridSpan w:val="4"/>
            <w:shd w:val="clear" w:color="auto" w:fill="D9D9D9"/>
            <w:vAlign w:val="center"/>
          </w:tcPr>
          <w:p w14:paraId="0A2BBB2C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BANCÁRIOS</w:t>
            </w:r>
          </w:p>
        </w:tc>
      </w:tr>
      <w:tr w:rsidR="00E60AA1" w14:paraId="07F4FCC6" w14:textId="77777777">
        <w:trPr>
          <w:trHeight w:val="340"/>
          <w:jc w:val="center"/>
        </w:trPr>
        <w:tc>
          <w:tcPr>
            <w:tcW w:w="2972" w:type="dxa"/>
          </w:tcPr>
          <w:p w14:paraId="166E6C26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Banco: </w:t>
            </w:r>
          </w:p>
        </w:tc>
        <w:tc>
          <w:tcPr>
            <w:tcW w:w="2410" w:type="dxa"/>
          </w:tcPr>
          <w:p w14:paraId="2537AB2C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Agência: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63AE87C1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87" w:type="dxa"/>
          </w:tcPr>
          <w:p w14:paraId="399AEFF9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C91FF2F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E60AA1" w14:paraId="22675CAB" w14:textId="77777777">
        <w:trPr>
          <w:trHeight w:val="340"/>
          <w:jc w:val="center"/>
        </w:trPr>
        <w:tc>
          <w:tcPr>
            <w:tcW w:w="10020" w:type="dxa"/>
            <w:shd w:val="clear" w:color="auto" w:fill="D9D9D9"/>
            <w:vAlign w:val="center"/>
          </w:tcPr>
          <w:p w14:paraId="67F7A44F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DO EDITAL DE FOMENTO</w:t>
            </w:r>
          </w:p>
        </w:tc>
      </w:tr>
      <w:tr w:rsidR="00E60AA1" w14:paraId="200A7005" w14:textId="77777777">
        <w:trPr>
          <w:trHeight w:val="340"/>
          <w:jc w:val="center"/>
        </w:trPr>
        <w:tc>
          <w:tcPr>
            <w:tcW w:w="10020" w:type="dxa"/>
          </w:tcPr>
          <w:p w14:paraId="725ACA29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Edital: </w:t>
            </w:r>
          </w:p>
        </w:tc>
      </w:tr>
    </w:tbl>
    <w:p w14:paraId="4B7843A9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tbl>
      <w:tblPr>
        <w:tblStyle w:val="a3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780"/>
      </w:tblGrid>
      <w:tr w:rsidR="00E60AA1" w14:paraId="2BFE5287" w14:textId="77777777">
        <w:trPr>
          <w:jc w:val="center"/>
        </w:trPr>
        <w:tc>
          <w:tcPr>
            <w:tcW w:w="10020" w:type="dxa"/>
            <w:gridSpan w:val="2"/>
            <w:shd w:val="clear" w:color="auto" w:fill="D9D9D9"/>
            <w:vAlign w:val="center"/>
          </w:tcPr>
          <w:p w14:paraId="5FC88E0C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DA AÇÃO DE EXTENSÃO</w:t>
            </w:r>
          </w:p>
        </w:tc>
      </w:tr>
      <w:tr w:rsidR="00E60AA1" w14:paraId="2A0A9D06" w14:textId="77777777">
        <w:trPr>
          <w:jc w:val="center"/>
        </w:trPr>
        <w:tc>
          <w:tcPr>
            <w:tcW w:w="10020" w:type="dxa"/>
            <w:gridSpan w:val="2"/>
          </w:tcPr>
          <w:p w14:paraId="56B0DBA9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Título: </w:t>
            </w:r>
          </w:p>
          <w:p w14:paraId="59E7BB55" w14:textId="77777777" w:rsidR="00E60AA1" w:rsidRDefault="00E60AA1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0AA1" w14:paraId="39370741" w14:textId="77777777">
        <w:trPr>
          <w:trHeight w:val="397"/>
          <w:jc w:val="center"/>
        </w:trPr>
        <w:tc>
          <w:tcPr>
            <w:tcW w:w="5240" w:type="dxa"/>
          </w:tcPr>
          <w:p w14:paraId="7436AD4B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 de </w:t>
            </w:r>
            <w:r>
              <w:rPr>
                <w:rFonts w:ascii="Arial" w:eastAsia="Arial" w:hAnsi="Arial" w:cs="Arial"/>
                <w:b/>
              </w:rPr>
              <w:t>início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execução: </w:t>
            </w:r>
          </w:p>
        </w:tc>
        <w:tc>
          <w:tcPr>
            <w:tcW w:w="4780" w:type="dxa"/>
          </w:tcPr>
          <w:p w14:paraId="70A30656" w14:textId="77777777" w:rsidR="00E60AA1" w:rsidRDefault="00000000">
            <w:pPr>
              <w:tabs>
                <w:tab w:val="left" w:pos="818"/>
              </w:tabs>
              <w:spacing w:line="276" w:lineRule="auto"/>
              <w:ind w:righ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final de execução: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F1E25C1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129B0820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CONDIÇÕES GERAIS</w:t>
      </w:r>
    </w:p>
    <w:p w14:paraId="60937124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36850CA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1ª -</w:t>
      </w:r>
      <w:r>
        <w:rPr>
          <w:rFonts w:ascii="Arial" w:eastAsia="Arial" w:hAnsi="Arial" w:cs="Arial"/>
          <w:color w:val="000000"/>
        </w:rPr>
        <w:t xml:space="preserve"> Ao aceitar a concessão, que ora lhe é feita, compromete-se o bolsista a dedicar-se às atividades pertinentes à bolsa concedida.</w:t>
      </w:r>
    </w:p>
    <w:p w14:paraId="23F01FA4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ind w:right="1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FA8A47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2ª -</w:t>
      </w:r>
      <w:r>
        <w:rPr>
          <w:rFonts w:ascii="Arial" w:eastAsia="Arial" w:hAnsi="Arial" w:cs="Arial"/>
          <w:color w:val="000000"/>
        </w:rPr>
        <w:t xml:space="preserve"> Compromete-se ainda o bolsista a:</w:t>
      </w:r>
    </w:p>
    <w:p w14:paraId="1F97AC5F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Estar regularmente matriculado no curso técnico em Instrumento Musical, no campus ao qual concorre à vaga;</w:t>
      </w:r>
    </w:p>
    <w:p w14:paraId="18BC858A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Ter disponibilidade de 10 (dez) horas semanais para dedicar-se às atividades previstas na ação de extensão e cultura;</w:t>
      </w:r>
    </w:p>
    <w:p w14:paraId="135BCE7C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Não ser beneficiário de bolsa de outros programas de Ensino, de Pesquisa e de Extensão, pagas com recursos da dotação orçamentária do IFPB. Esta vedação não se aplica quanto ao recebimento de auxílios oriundos da assistência estudantil;</w:t>
      </w:r>
    </w:p>
    <w:p w14:paraId="440D2C3C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participar dos ensaios e reuniões semanais da banda-base, além de participar da etapa estadual do FESTIN 2024;</w:t>
      </w:r>
    </w:p>
    <w:p w14:paraId="4866D4AF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estudar as músicas conforme deliberação nos ensaios e reuniões. </w:t>
      </w:r>
    </w:p>
    <w:p w14:paraId="2BFA2414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f) ter atitude proativa no decorrer das atividades. </w:t>
      </w:r>
    </w:p>
    <w:p w14:paraId="3646D953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elaborar relatório mensal constando as atividades desenvolvidas, assinado pelo docente </w:t>
      </w:r>
      <w:r>
        <w:rPr>
          <w:rFonts w:ascii="Arial" w:eastAsia="Arial" w:hAnsi="Arial" w:cs="Arial"/>
        </w:rPr>
        <w:lastRenderedPageBreak/>
        <w:t xml:space="preserve">coordenador, e submeter à Coordenação de Extensão e Cultura. </w:t>
      </w:r>
    </w:p>
    <w:p w14:paraId="570C189F" w14:textId="77777777" w:rsidR="00E60AA1" w:rsidRDefault="00000000">
      <w:pP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h) prestar esclarecimentos sobre as atividades musicais quando solicitado, a qualquer tempo, pela Coordenação de Extensão e Cultura do campus e/ou pela Pró-Reitoria de Extensão e Cultura. </w:t>
      </w:r>
    </w:p>
    <w:p w14:paraId="061972F1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</w:rPr>
      </w:pPr>
    </w:p>
    <w:p w14:paraId="195B3F9A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3ª -</w:t>
      </w:r>
      <w:r>
        <w:rPr>
          <w:rFonts w:ascii="Arial" w:eastAsia="Arial" w:hAnsi="Arial" w:cs="Arial"/>
          <w:color w:val="000000"/>
        </w:rPr>
        <w:t xml:space="preserve"> O IFPB poderá cancelar ou suspender a bolsa quando não observadas qualquer das condições constantes deste termo e das normas aplicáveis a esta concessão, sem prejuízo da aplicação dos dispositivos legais que disciplinam o ressarcimento dos recursos.</w:t>
      </w:r>
    </w:p>
    <w:p w14:paraId="5CA3A553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4ª -</w:t>
      </w:r>
      <w:r>
        <w:rPr>
          <w:rFonts w:ascii="Arial" w:eastAsia="Arial" w:hAnsi="Arial" w:cs="Arial"/>
          <w:color w:val="000000"/>
        </w:rPr>
        <w:t xml:space="preserve"> A concessão objeto do presente instrumento não gera vínculo de qualquer natureza ou relação de trabalho.</w:t>
      </w:r>
    </w:p>
    <w:p w14:paraId="0D0A4BB4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after="60" w:line="276" w:lineRule="auto"/>
        <w:ind w:right="105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>Cláusula 5ª -</w:t>
      </w:r>
      <w:r>
        <w:rPr>
          <w:rFonts w:ascii="Arial" w:eastAsia="Arial" w:hAnsi="Arial" w:cs="Arial"/>
          <w:color w:val="000000"/>
        </w:rPr>
        <w:t xml:space="preserve"> O bolsista manifesta sua integral e incondicional concordância com a concessão que ora é feita, comprometendo-se a cumprir fielmente as condições expressas neste instrumento.</w:t>
      </w:r>
    </w:p>
    <w:p w14:paraId="5F06F71B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942A1EC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7C4AAFC6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5846455A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>Cidade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FF0000"/>
        </w:rPr>
        <w:t>UF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FF0000"/>
        </w:rPr>
        <w:t>xxxxxxxx</w:t>
      </w:r>
      <w:r>
        <w:rPr>
          <w:rFonts w:ascii="Arial" w:eastAsia="Arial" w:hAnsi="Arial" w:cs="Arial"/>
          <w:color w:val="000000"/>
        </w:rPr>
        <w:t xml:space="preserve"> de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.</w:t>
      </w:r>
    </w:p>
    <w:p w14:paraId="1ADF6271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06D04D3D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002FDBE1" w14:textId="77777777" w:rsidR="00E60AA1" w:rsidRDefault="00E60AA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4712FB7D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</w:t>
      </w:r>
    </w:p>
    <w:p w14:paraId="3E46BF75" w14:textId="77777777" w:rsidR="00E60A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Assinatura do</w:t>
      </w:r>
      <w:r>
        <w:rPr>
          <w:rFonts w:ascii="Arial" w:eastAsia="Arial" w:hAnsi="Arial" w:cs="Arial"/>
        </w:rPr>
        <w:t xml:space="preserve"> Bolsista Discente</w:t>
      </w:r>
    </w:p>
    <w:sectPr w:rsidR="00E60AA1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339A" w14:textId="77777777" w:rsidR="00F22F3B" w:rsidRDefault="00F22F3B">
      <w:r>
        <w:separator/>
      </w:r>
    </w:p>
  </w:endnote>
  <w:endnote w:type="continuationSeparator" w:id="0">
    <w:p w14:paraId="5224723D" w14:textId="77777777" w:rsidR="00F22F3B" w:rsidRDefault="00F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3A3B" w14:textId="77777777" w:rsidR="00E60A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t xml:space="preserve">|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34A3F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4D92B509" w14:textId="77777777" w:rsidR="00E60AA1" w:rsidRDefault="00E60A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7038" w14:textId="77777777" w:rsidR="00F22F3B" w:rsidRDefault="00F22F3B">
      <w:r>
        <w:separator/>
      </w:r>
    </w:p>
  </w:footnote>
  <w:footnote w:type="continuationSeparator" w:id="0">
    <w:p w14:paraId="213C815D" w14:textId="77777777" w:rsidR="00F22F3B" w:rsidRDefault="00F2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0DD6" w14:textId="77777777" w:rsidR="00E60AA1" w:rsidRDefault="00E60AA1">
    <w:pPr>
      <w:rPr>
        <w:rFonts w:ascii="Arial" w:eastAsia="Arial" w:hAnsi="Arial" w:cs="Arial"/>
      </w:rPr>
    </w:pPr>
  </w:p>
  <w:p w14:paraId="40F48749" w14:textId="77777777" w:rsidR="00E60AA1" w:rsidRDefault="00000000">
    <w:pPr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A83571" wp14:editId="32170CBD">
          <wp:simplePos x="0" y="0"/>
          <wp:positionH relativeFrom="column">
            <wp:posOffset>2939885</wp:posOffset>
          </wp:positionH>
          <wp:positionV relativeFrom="paragraph">
            <wp:posOffset>-181720</wp:posOffset>
          </wp:positionV>
          <wp:extent cx="435957" cy="42966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F6DAC0" w14:textId="77777777" w:rsidR="00E60AA1" w:rsidRDefault="00E60AA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  <w:p w14:paraId="3C32F2C8" w14:textId="77777777" w:rsidR="00E60AA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MINISTÉRIO DA EDUCAÇÃO</w:t>
    </w:r>
  </w:p>
  <w:p w14:paraId="0998C664" w14:textId="77777777" w:rsidR="00E60AA1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SECRETARIA DE EDUCAÇÃO PROFISSIONAL E TECNOLÓGICA</w:t>
    </w:r>
  </w:p>
  <w:p w14:paraId="44FF94BD" w14:textId="77777777" w:rsidR="00E60AA1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INSTITUTO FEDERAL DE EDUCAÇÃO, CIÊNCIA E TECNOLOGIA DA PARAÍBA</w:t>
    </w:r>
  </w:p>
  <w:p w14:paraId="1BF9E929" w14:textId="77777777" w:rsidR="00E60AA1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PRÓ-REITORIA DE EXTENSÃO E CULTURA</w:t>
    </w:r>
  </w:p>
  <w:p w14:paraId="5D727CD8" w14:textId="77777777" w:rsidR="00E60AA1" w:rsidRDefault="00E60A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A1"/>
    <w:rsid w:val="00E34A3F"/>
    <w:rsid w:val="00E60AA1"/>
    <w:rsid w:val="00F2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5CBC"/>
  <w15:docId w15:val="{A3605F9D-DD6E-4636-9CA5-F2B93061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F6D3D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F6D3D"/>
    <w:rPr>
      <w:rFonts w:ascii="Arial" w:eastAsia="Arial" w:hAnsi="Arial" w:cs="Arial"/>
      <w:lang w:eastAsia="en-US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b8sjj5CkMg3z0LKcvNYm40WDQ==">CgMxLjA4AHIhMW5kNjc1bGpaUko2VmxRZmJoNGpTdGN1SThnaWZmdXNw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sopheus</dc:creator>
  <cp:lastModifiedBy>PROEXC IFPB</cp:lastModifiedBy>
  <cp:revision>2</cp:revision>
  <dcterms:created xsi:type="dcterms:W3CDTF">2021-05-10T23:00:00Z</dcterms:created>
  <dcterms:modified xsi:type="dcterms:W3CDTF">2024-07-22T20:23:00Z</dcterms:modified>
</cp:coreProperties>
</file>