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61" w:rsidRDefault="001A4061" w:rsidP="001A4061">
      <w:pPr>
        <w:pStyle w:val="Default"/>
        <w:jc w:val="center"/>
        <w:rPr>
          <w:b/>
          <w:bCs/>
          <w:sz w:val="22"/>
          <w:szCs w:val="22"/>
        </w:rPr>
      </w:pPr>
      <w:r w:rsidRPr="00B924BF">
        <w:rPr>
          <w:b/>
          <w:bCs/>
          <w:sz w:val="22"/>
          <w:szCs w:val="22"/>
        </w:rPr>
        <w:t xml:space="preserve">ANEXO </w:t>
      </w:r>
      <w:proofErr w:type="gramStart"/>
      <w:r w:rsidRPr="00B924BF">
        <w:rPr>
          <w:b/>
          <w:bCs/>
          <w:sz w:val="22"/>
          <w:szCs w:val="22"/>
        </w:rPr>
        <w:t>1</w:t>
      </w:r>
      <w:proofErr w:type="gramEnd"/>
    </w:p>
    <w:p w:rsidR="001A4061" w:rsidRPr="00B924BF" w:rsidRDefault="001A4061" w:rsidP="001A4061">
      <w:pPr>
        <w:pStyle w:val="Default"/>
        <w:jc w:val="center"/>
        <w:rPr>
          <w:b/>
          <w:bCs/>
          <w:sz w:val="22"/>
          <w:szCs w:val="22"/>
        </w:rPr>
      </w:pPr>
    </w:p>
    <w:p w:rsidR="001A4061" w:rsidRPr="00B924BF" w:rsidRDefault="001A4061" w:rsidP="001A4061">
      <w:pPr>
        <w:pStyle w:val="Default"/>
        <w:jc w:val="center"/>
        <w:rPr>
          <w:b/>
          <w:bCs/>
          <w:sz w:val="22"/>
          <w:szCs w:val="22"/>
        </w:rPr>
      </w:pPr>
      <w:r w:rsidRPr="00B924BF">
        <w:rPr>
          <w:b/>
          <w:bCs/>
          <w:sz w:val="22"/>
          <w:szCs w:val="22"/>
        </w:rPr>
        <w:t>TABELA DE PONTUAÇÃO</w:t>
      </w:r>
    </w:p>
    <w:p w:rsidR="001A4061" w:rsidRPr="00B924BF" w:rsidRDefault="001A4061" w:rsidP="001A4061">
      <w:pPr>
        <w:jc w:val="center"/>
        <w:rPr>
          <w:rFonts w:ascii="Times New Roman" w:hAnsi="Times New Roman" w:cs="Times New Roman"/>
        </w:rPr>
      </w:pPr>
      <w:r w:rsidRPr="00B924BF">
        <w:rPr>
          <w:rFonts w:ascii="Times New Roman" w:hAnsi="Times New Roman" w:cs="Times New Roman"/>
        </w:rPr>
        <w:t>(Para o cálculo do Índice de Vulnerabilidade Econômica – IVE)</w:t>
      </w:r>
    </w:p>
    <w:p w:rsidR="001A4061" w:rsidRPr="00B924BF" w:rsidRDefault="001A4061" w:rsidP="001A4061">
      <w:pPr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2552"/>
        <w:gridCol w:w="1842"/>
        <w:gridCol w:w="2410"/>
      </w:tblGrid>
      <w:tr w:rsidR="001A4061" w:rsidRPr="00B924BF" w:rsidTr="005A71C7">
        <w:trPr>
          <w:trHeight w:val="349"/>
        </w:trPr>
        <w:tc>
          <w:tcPr>
            <w:tcW w:w="959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b/>
                <w:bCs/>
                <w:sz w:val="22"/>
                <w:szCs w:val="22"/>
              </w:rPr>
              <w:t>PESO</w:t>
            </w:r>
            <w:proofErr w:type="gramStart"/>
            <w:r w:rsidRPr="00B924BF">
              <w:rPr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B924BF">
              <w:rPr>
                <w:b/>
                <w:bCs/>
                <w:sz w:val="22"/>
                <w:szCs w:val="22"/>
              </w:rPr>
              <w:t>(</w:t>
            </w:r>
            <w:r w:rsidRPr="00B924BF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B924B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b/>
                <w:bCs/>
                <w:sz w:val="22"/>
                <w:szCs w:val="22"/>
              </w:rPr>
              <w:t>VARIÁVEL (</w:t>
            </w:r>
            <w:r w:rsidRPr="00B924BF">
              <w:rPr>
                <w:b/>
                <w:bCs/>
                <w:i/>
                <w:iCs/>
                <w:sz w:val="22"/>
                <w:szCs w:val="22"/>
              </w:rPr>
              <w:t>V</w:t>
            </w:r>
            <w:r w:rsidRPr="00B924B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b/>
                <w:bCs/>
                <w:sz w:val="22"/>
                <w:szCs w:val="22"/>
              </w:rPr>
              <w:t>INDICADOR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b/>
                <w:bCs/>
                <w:sz w:val="22"/>
                <w:szCs w:val="22"/>
              </w:rPr>
              <w:t>PONTUAÇÃO</w:t>
            </w:r>
            <w:proofErr w:type="gramStart"/>
            <w:r w:rsidRPr="00B924BF">
              <w:rPr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B924BF">
              <w:rPr>
                <w:b/>
                <w:bCs/>
                <w:sz w:val="22"/>
                <w:szCs w:val="22"/>
              </w:rPr>
              <w:t>(</w:t>
            </w:r>
            <w:r w:rsidRPr="00B924BF">
              <w:rPr>
                <w:b/>
                <w:bCs/>
                <w:i/>
                <w:iCs/>
                <w:sz w:val="22"/>
                <w:szCs w:val="22"/>
              </w:rPr>
              <w:t>C</w:t>
            </w:r>
            <w:r w:rsidRPr="00B924B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b/>
                <w:bCs/>
                <w:sz w:val="22"/>
                <w:szCs w:val="22"/>
              </w:rPr>
              <w:t>CONCEITO</w:t>
            </w:r>
          </w:p>
        </w:tc>
      </w:tr>
      <w:tr w:rsidR="001A4061" w:rsidRPr="00B924BF" w:rsidTr="005A71C7">
        <w:trPr>
          <w:trHeight w:val="255"/>
        </w:trPr>
        <w:tc>
          <w:tcPr>
            <w:tcW w:w="9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B924BF">
              <w:rPr>
                <w:b/>
                <w:bCs/>
                <w:sz w:val="22"/>
                <w:szCs w:val="22"/>
              </w:rPr>
              <w:t>3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Renda bruta familiar </w:t>
            </w:r>
            <w:r w:rsidRPr="00B924BF">
              <w:rPr>
                <w:i/>
                <w:iCs/>
                <w:sz w:val="22"/>
                <w:szCs w:val="22"/>
              </w:rPr>
              <w:t>per capita</w:t>
            </w: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  <w:proofErr w:type="gramStart"/>
            <w:r w:rsidRPr="00B924BF">
              <w:rPr>
                <w:sz w:val="22"/>
                <w:szCs w:val="22"/>
              </w:rPr>
              <w:t>0</w:t>
            </w:r>
            <w:proofErr w:type="gramEnd"/>
            <w:r w:rsidRPr="00B924BF">
              <w:rPr>
                <w:sz w:val="22"/>
                <w:szCs w:val="22"/>
              </w:rPr>
              <w:t xml:space="preserve"> a 0,25 </w:t>
            </w:r>
            <w:proofErr w:type="spellStart"/>
            <w:r w:rsidRPr="00B924BF">
              <w:rPr>
                <w:sz w:val="22"/>
                <w:szCs w:val="22"/>
              </w:rPr>
              <w:t>s.m.</w:t>
            </w:r>
            <w:proofErr w:type="spellEnd"/>
            <w:r w:rsidRPr="00B924BF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vMerge w:val="restart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É a soma da totalidade dos rendimentos obtidos pela unidade familiar, incluindo-se o aluno, dividida pelo número de membros da mesma. </w:t>
            </w:r>
          </w:p>
        </w:tc>
      </w:tr>
      <w:tr w:rsidR="001A4061" w:rsidRPr="00B924BF" w:rsidTr="005A71C7">
        <w:trPr>
          <w:trHeight w:val="252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0,25 a 0,5 </w:t>
            </w:r>
            <w:proofErr w:type="spellStart"/>
            <w:r w:rsidRPr="00B924BF">
              <w:rPr>
                <w:sz w:val="22"/>
                <w:szCs w:val="22"/>
              </w:rPr>
              <w:t>s.m.</w:t>
            </w:r>
            <w:proofErr w:type="spellEnd"/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75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252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0,5 a 0,75 </w:t>
            </w:r>
            <w:proofErr w:type="spellStart"/>
            <w:r w:rsidRPr="00B924BF">
              <w:rPr>
                <w:sz w:val="22"/>
                <w:szCs w:val="22"/>
              </w:rPr>
              <w:t>s.m.</w:t>
            </w:r>
            <w:proofErr w:type="spellEnd"/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37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252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0,75 a 1 </w:t>
            </w:r>
            <w:proofErr w:type="spellStart"/>
            <w:r w:rsidRPr="00B924BF">
              <w:rPr>
                <w:sz w:val="22"/>
                <w:szCs w:val="22"/>
              </w:rPr>
              <w:t>s.m.</w:t>
            </w:r>
            <w:proofErr w:type="spellEnd"/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252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  <w:proofErr w:type="gramStart"/>
            <w:r w:rsidRPr="00B924BF">
              <w:rPr>
                <w:sz w:val="22"/>
                <w:szCs w:val="22"/>
              </w:rPr>
              <w:t>1</w:t>
            </w:r>
            <w:proofErr w:type="gramEnd"/>
            <w:r w:rsidRPr="00B924BF">
              <w:rPr>
                <w:sz w:val="22"/>
                <w:szCs w:val="22"/>
              </w:rPr>
              <w:t xml:space="preserve"> a 1,5 </w:t>
            </w:r>
            <w:proofErr w:type="spellStart"/>
            <w:r w:rsidRPr="00B924BF">
              <w:rPr>
                <w:sz w:val="22"/>
                <w:szCs w:val="22"/>
              </w:rPr>
              <w:t>s.m.</w:t>
            </w:r>
            <w:proofErr w:type="spellEnd"/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252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Acima 1,5 </w:t>
            </w:r>
            <w:proofErr w:type="spellStart"/>
            <w:r w:rsidRPr="00B924BF">
              <w:rPr>
                <w:sz w:val="22"/>
                <w:szCs w:val="22"/>
              </w:rPr>
              <w:t>s.m.</w:t>
            </w:r>
            <w:proofErr w:type="spellEnd"/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B924BF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295"/>
        </w:trPr>
        <w:tc>
          <w:tcPr>
            <w:tcW w:w="9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B924BF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Situação de emprego, trabalho ou ocupação por pessoa da família maior de 18 </w:t>
            </w:r>
            <w:proofErr w:type="gramStart"/>
            <w:r w:rsidRPr="00B924BF">
              <w:rPr>
                <w:sz w:val="22"/>
                <w:szCs w:val="22"/>
              </w:rPr>
              <w:t>anos</w:t>
            </w:r>
            <w:proofErr w:type="gramEnd"/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Pessoa com vínculo formal de trabalho ou aposentado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B924BF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410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Análise da presença ou não de vínculo empregatício e da origem de rendimentos do núcleo familiar.</w:t>
            </w:r>
          </w:p>
        </w:tc>
      </w:tr>
      <w:tr w:rsidR="001A4061" w:rsidRPr="00B924BF" w:rsidTr="005A71C7">
        <w:trPr>
          <w:trHeight w:val="295"/>
        </w:trPr>
        <w:tc>
          <w:tcPr>
            <w:tcW w:w="959" w:type="dxa"/>
            <w:vMerge/>
          </w:tcPr>
          <w:p w:rsidR="001A4061" w:rsidRPr="00B924BF" w:rsidRDefault="001A4061" w:rsidP="005A71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Empresário/Microempreendedor Individual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295"/>
        </w:trPr>
        <w:tc>
          <w:tcPr>
            <w:tcW w:w="959" w:type="dxa"/>
            <w:vMerge/>
          </w:tcPr>
          <w:p w:rsidR="001A4061" w:rsidRPr="00B924BF" w:rsidRDefault="001A4061" w:rsidP="005A71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Pessoa titular de Auxílio-doença/ Auxílio-Acidente/ Auxílio reclusão/ Salário-maternidade/ Pensão por morte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295"/>
        </w:trPr>
        <w:tc>
          <w:tcPr>
            <w:tcW w:w="959" w:type="dxa"/>
            <w:vMerge/>
          </w:tcPr>
          <w:p w:rsidR="001A4061" w:rsidRPr="00B924BF" w:rsidRDefault="001A4061" w:rsidP="005A71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Estudante (maior de 18 anos) que não tenha vínculo algum de trabalho, regularmente matriculado em curso </w:t>
            </w:r>
            <w:proofErr w:type="gramStart"/>
            <w:r w:rsidRPr="00B924BF">
              <w:rPr>
                <w:sz w:val="22"/>
                <w:szCs w:val="22"/>
              </w:rPr>
              <w:t>presencial</w:t>
            </w:r>
            <w:proofErr w:type="gramEnd"/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295"/>
        </w:trPr>
        <w:tc>
          <w:tcPr>
            <w:tcW w:w="959" w:type="dxa"/>
            <w:vMerge/>
          </w:tcPr>
          <w:p w:rsidR="001A4061" w:rsidRPr="00B924BF" w:rsidRDefault="001A4061" w:rsidP="005A71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  <w:highlight w:val="yellow"/>
              </w:rPr>
            </w:pPr>
            <w:r w:rsidRPr="00B924BF">
              <w:rPr>
                <w:sz w:val="22"/>
                <w:szCs w:val="22"/>
              </w:rPr>
              <w:t>Pessoa em cumprimento de Aviso prévio/ Pessoa em recebimento de seguro desemprego/ Seguro defeso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295"/>
        </w:trPr>
        <w:tc>
          <w:tcPr>
            <w:tcW w:w="959" w:type="dxa"/>
            <w:vMerge/>
          </w:tcPr>
          <w:p w:rsidR="001A4061" w:rsidRPr="00B924BF" w:rsidRDefault="001A4061" w:rsidP="005A71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Pessoa sem vínculo formal de trabalho/ Autônomo/ Agricultor ou produtor rural/ Pescador/ Pessoa com rendimento proveniente de aluguel de imóveis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295"/>
        </w:trPr>
        <w:tc>
          <w:tcPr>
            <w:tcW w:w="959" w:type="dxa"/>
            <w:vMerge/>
          </w:tcPr>
          <w:p w:rsidR="001A4061" w:rsidRPr="00B924BF" w:rsidRDefault="001A4061" w:rsidP="005A71C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Pessoa sem renda vivendo exclusivamente de Programas Sociais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503"/>
        </w:trPr>
        <w:tc>
          <w:tcPr>
            <w:tcW w:w="9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924BF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Participação em programas sociais/ </w:t>
            </w:r>
            <w:r w:rsidRPr="00B924BF">
              <w:rPr>
                <w:sz w:val="22"/>
                <w:szCs w:val="22"/>
              </w:rPr>
              <w:lastRenderedPageBreak/>
              <w:t>Recebimento de benefícios sociais</w:t>
            </w:r>
          </w:p>
        </w:tc>
        <w:tc>
          <w:tcPr>
            <w:tcW w:w="2552" w:type="dxa"/>
            <w:vAlign w:val="center"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lastRenderedPageBreak/>
              <w:t>Benefício de Prestação Continuada (por pessoa)</w:t>
            </w:r>
          </w:p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25</w:t>
            </w:r>
          </w:p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É a consideração da situação do núcleo familiar expressa pelo </w:t>
            </w:r>
            <w:r w:rsidRPr="00B924BF">
              <w:rPr>
                <w:sz w:val="22"/>
                <w:szCs w:val="22"/>
              </w:rPr>
              <w:lastRenderedPageBreak/>
              <w:t>seu atendimento por programas sociais e / ou benefícios sociais cujas concessões se baseiam em análise de critérios socioeconômicos.</w:t>
            </w:r>
          </w:p>
        </w:tc>
      </w:tr>
      <w:tr w:rsidR="001A4061" w:rsidRPr="00B924BF" w:rsidTr="005A71C7">
        <w:trPr>
          <w:trHeight w:val="502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Programa Bolsa Família e/ou Garantia-Safra</w:t>
            </w:r>
          </w:p>
        </w:tc>
        <w:tc>
          <w:tcPr>
            <w:tcW w:w="1842" w:type="dxa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129"/>
        </w:trPr>
        <w:tc>
          <w:tcPr>
            <w:tcW w:w="9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924BF">
              <w:rPr>
                <w:b/>
                <w:bCs/>
                <w:sz w:val="22"/>
                <w:szCs w:val="22"/>
              </w:rPr>
              <w:lastRenderedPageBreak/>
              <w:t>3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Composição familiar (por pessoa da família)</w:t>
            </w: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Jovens e adultos (18 a 59 anos)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B924BF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410" w:type="dxa"/>
            <w:vMerge w:val="restart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Considera-se, através desta variável, a presença de grupos etários que detém direitos específicos reconhecidos em razão da sua condição de fragilidade. </w:t>
            </w:r>
          </w:p>
        </w:tc>
      </w:tr>
      <w:tr w:rsidR="001A4061" w:rsidRPr="00B924BF" w:rsidTr="005A71C7">
        <w:trPr>
          <w:trHeight w:val="127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Adolescentes (13 a 17 anos)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127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Crianças (de 0 a 12)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127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Idosos (Acima de 60 anos)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126"/>
        </w:trPr>
        <w:tc>
          <w:tcPr>
            <w:tcW w:w="9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924BF">
              <w:rPr>
                <w:b/>
                <w:bCs/>
                <w:sz w:val="22"/>
                <w:szCs w:val="22"/>
              </w:rPr>
              <w:t>3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Composição familiar</w:t>
            </w: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Família Nuclear 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B924BF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410" w:type="dxa"/>
            <w:vMerge w:val="restart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Considera-se, através desta variável, a interferência de situações agravantes vivenciadas pela família decorrente da ausência total ou parcial dos pais. </w:t>
            </w:r>
          </w:p>
        </w:tc>
      </w:tr>
      <w:tr w:rsidR="001A4061" w:rsidRPr="00B924BF" w:rsidTr="005A71C7">
        <w:trPr>
          <w:trHeight w:val="123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Família Ampliada 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123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Família Monoparental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75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1196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Família </w:t>
            </w:r>
            <w:proofErr w:type="spellStart"/>
            <w:r w:rsidRPr="00B924BF">
              <w:rPr>
                <w:sz w:val="22"/>
                <w:szCs w:val="22"/>
              </w:rPr>
              <w:t>Anaparental</w:t>
            </w:r>
            <w:proofErr w:type="spellEnd"/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192"/>
        </w:trPr>
        <w:tc>
          <w:tcPr>
            <w:tcW w:w="9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924BF">
              <w:rPr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Situação de moradia da família (condição)</w:t>
            </w:r>
          </w:p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Própria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B924BF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410" w:type="dxa"/>
            <w:vMerge w:val="restart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São considerados pela variável “Situação de moradia” os aspectos que definem as condições de moradia da família do estudante, bem como se considera o deslocamento percorrido pelo estudante entre sua casa e o IFPB Sousa.</w:t>
            </w:r>
          </w:p>
        </w:tc>
      </w:tr>
      <w:tr w:rsidR="001A4061" w:rsidRPr="00B924BF" w:rsidTr="005A71C7">
        <w:trPr>
          <w:trHeight w:val="191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Cedida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191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Financiada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191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Alugada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255"/>
        </w:trPr>
        <w:tc>
          <w:tcPr>
            <w:tcW w:w="9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924BF">
              <w:rPr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Situação de moradia da família (localização)</w:t>
            </w: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Zona Urbana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B924BF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255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Zona Rural</w:t>
            </w:r>
          </w:p>
        </w:tc>
        <w:tc>
          <w:tcPr>
            <w:tcW w:w="1842" w:type="dxa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383"/>
        </w:trPr>
        <w:tc>
          <w:tcPr>
            <w:tcW w:w="9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924BF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Estudante em situação de mobilidade estudantil</w:t>
            </w: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Não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B924BF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410" w:type="dxa"/>
            <w:vMerge w:val="restart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Considera-se, através desta variável, a situação do estudante que se encontra residindo na cidade de Sousa - PB, distante da cidade de origem da família, com a finalidade de manutenção na instituição e conclusão do curso.</w:t>
            </w:r>
          </w:p>
        </w:tc>
      </w:tr>
      <w:tr w:rsidR="001A4061" w:rsidRPr="00B924BF" w:rsidTr="005A71C7">
        <w:trPr>
          <w:trHeight w:val="382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Sim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129"/>
        </w:trPr>
        <w:tc>
          <w:tcPr>
            <w:tcW w:w="9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924BF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Situação de saúde por pessoa da família</w:t>
            </w: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Pessoa em tratamento de dependência de álcool ou outras drogas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É a análise da condição de saúde do estudante e dos membros da família que interferem na dinâmica familiar.</w:t>
            </w:r>
          </w:p>
        </w:tc>
      </w:tr>
      <w:tr w:rsidR="001A4061" w:rsidRPr="00B924BF" w:rsidTr="005A71C7">
        <w:trPr>
          <w:trHeight w:val="127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Pessoa em sofrimento psíquico ou transtorno </w:t>
            </w:r>
            <w:r w:rsidRPr="00B924BF">
              <w:rPr>
                <w:sz w:val="22"/>
                <w:szCs w:val="22"/>
              </w:rPr>
              <w:lastRenderedPageBreak/>
              <w:t>mental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127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Doença crônica (Portaria nº 483, de 1º de abril de 2014</w:t>
            </w:r>
            <w:proofErr w:type="gramStart"/>
            <w:r w:rsidRPr="00B924BF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127"/>
        </w:trPr>
        <w:tc>
          <w:tcPr>
            <w:tcW w:w="9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Pessoa com deficiência</w:t>
            </w:r>
          </w:p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192"/>
        </w:trPr>
        <w:tc>
          <w:tcPr>
            <w:tcW w:w="9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924BF">
              <w:rPr>
                <w:b/>
                <w:bCs/>
                <w:sz w:val="22"/>
                <w:szCs w:val="22"/>
              </w:rPr>
              <w:t>3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Acesso à educação fundamental pelo estudante</w:t>
            </w: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Ensino regular </w:t>
            </w:r>
            <w:r w:rsidRPr="00B924BF">
              <w:rPr>
                <w:b/>
                <w:bCs/>
                <w:sz w:val="22"/>
                <w:szCs w:val="22"/>
              </w:rPr>
              <w:t xml:space="preserve">todo </w:t>
            </w:r>
            <w:r w:rsidRPr="00B924BF">
              <w:rPr>
                <w:sz w:val="22"/>
                <w:szCs w:val="22"/>
              </w:rPr>
              <w:t xml:space="preserve">em escola </w:t>
            </w:r>
            <w:r w:rsidRPr="00B924BF">
              <w:rPr>
                <w:b/>
                <w:bCs/>
                <w:sz w:val="22"/>
                <w:szCs w:val="22"/>
              </w:rPr>
              <w:t>particular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B924BF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410" w:type="dxa"/>
            <w:vMerge w:val="restart"/>
            <w:vAlign w:val="center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Análise da origem escolar do estudante.</w:t>
            </w:r>
          </w:p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191"/>
        </w:trPr>
        <w:tc>
          <w:tcPr>
            <w:tcW w:w="959" w:type="dxa"/>
            <w:vMerge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Ensino regular </w:t>
            </w:r>
            <w:r w:rsidRPr="00B924BF">
              <w:rPr>
                <w:b/>
                <w:bCs/>
                <w:sz w:val="22"/>
                <w:szCs w:val="22"/>
              </w:rPr>
              <w:t xml:space="preserve">todo </w:t>
            </w:r>
            <w:r w:rsidRPr="00B924BF">
              <w:rPr>
                <w:sz w:val="22"/>
                <w:szCs w:val="22"/>
              </w:rPr>
              <w:t xml:space="preserve">como </w:t>
            </w:r>
            <w:r w:rsidRPr="00B924BF">
              <w:rPr>
                <w:b/>
                <w:bCs/>
                <w:sz w:val="22"/>
                <w:szCs w:val="22"/>
              </w:rPr>
              <w:t xml:space="preserve">bolsista integral </w:t>
            </w:r>
            <w:r w:rsidRPr="00B924BF">
              <w:rPr>
                <w:sz w:val="22"/>
                <w:szCs w:val="22"/>
              </w:rPr>
              <w:t xml:space="preserve">em escola particular 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B924BF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191"/>
        </w:trPr>
        <w:tc>
          <w:tcPr>
            <w:tcW w:w="959" w:type="dxa"/>
            <w:vMerge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Ensino regular </w:t>
            </w:r>
            <w:r w:rsidRPr="00B924BF">
              <w:rPr>
                <w:b/>
                <w:bCs/>
                <w:sz w:val="22"/>
                <w:szCs w:val="22"/>
              </w:rPr>
              <w:t xml:space="preserve">maior parte </w:t>
            </w:r>
            <w:r w:rsidRPr="00B924BF">
              <w:rPr>
                <w:sz w:val="22"/>
                <w:szCs w:val="22"/>
              </w:rPr>
              <w:t xml:space="preserve">em escola </w:t>
            </w:r>
            <w:r w:rsidRPr="00B924BF">
              <w:rPr>
                <w:b/>
                <w:bCs/>
                <w:sz w:val="22"/>
                <w:szCs w:val="22"/>
              </w:rPr>
              <w:t>particular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B924BF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191"/>
        </w:trPr>
        <w:tc>
          <w:tcPr>
            <w:tcW w:w="959" w:type="dxa"/>
            <w:vMerge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Ensino regular </w:t>
            </w:r>
            <w:r w:rsidRPr="00B924BF">
              <w:rPr>
                <w:b/>
                <w:bCs/>
                <w:sz w:val="22"/>
                <w:szCs w:val="22"/>
              </w:rPr>
              <w:t xml:space="preserve">maior parte </w:t>
            </w:r>
            <w:r w:rsidRPr="00B924BF">
              <w:rPr>
                <w:sz w:val="22"/>
                <w:szCs w:val="22"/>
              </w:rPr>
              <w:t xml:space="preserve">em escola </w:t>
            </w:r>
            <w:r w:rsidRPr="00B924BF">
              <w:rPr>
                <w:b/>
                <w:bCs/>
                <w:sz w:val="22"/>
                <w:szCs w:val="22"/>
              </w:rPr>
              <w:t>pública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15</w:t>
            </w:r>
          </w:p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</w:tr>
      <w:tr w:rsidR="001A4061" w:rsidRPr="00B924BF" w:rsidTr="005A71C7">
        <w:trPr>
          <w:trHeight w:val="191"/>
        </w:trPr>
        <w:tc>
          <w:tcPr>
            <w:tcW w:w="959" w:type="dxa"/>
            <w:vMerge/>
          </w:tcPr>
          <w:p w:rsidR="001A4061" w:rsidRPr="00B924BF" w:rsidRDefault="001A4061" w:rsidP="005A71C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061" w:rsidRPr="00B924BF" w:rsidRDefault="001A4061" w:rsidP="005A71C7">
            <w:pPr>
              <w:pStyle w:val="Default"/>
              <w:jc w:val="both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 xml:space="preserve">Ensino regular </w:t>
            </w:r>
            <w:r w:rsidRPr="00B924BF">
              <w:rPr>
                <w:b/>
                <w:bCs/>
                <w:sz w:val="22"/>
                <w:szCs w:val="22"/>
              </w:rPr>
              <w:t xml:space="preserve">todo </w:t>
            </w:r>
            <w:r w:rsidRPr="00B924BF">
              <w:rPr>
                <w:sz w:val="22"/>
                <w:szCs w:val="22"/>
              </w:rPr>
              <w:t xml:space="preserve">em escola </w:t>
            </w:r>
            <w:r w:rsidRPr="00B924BF">
              <w:rPr>
                <w:b/>
                <w:bCs/>
                <w:sz w:val="22"/>
                <w:szCs w:val="22"/>
              </w:rPr>
              <w:t>pública</w:t>
            </w:r>
          </w:p>
        </w:tc>
        <w:tc>
          <w:tcPr>
            <w:tcW w:w="1842" w:type="dxa"/>
          </w:tcPr>
          <w:p w:rsidR="001A4061" w:rsidRPr="00B924BF" w:rsidRDefault="001A4061" w:rsidP="005A71C7">
            <w:pPr>
              <w:pStyle w:val="Default"/>
              <w:jc w:val="center"/>
              <w:rPr>
                <w:sz w:val="22"/>
                <w:szCs w:val="22"/>
              </w:rPr>
            </w:pPr>
            <w:r w:rsidRPr="00B924BF"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  <w:vMerge/>
          </w:tcPr>
          <w:p w:rsidR="001A4061" w:rsidRPr="00B924BF" w:rsidRDefault="001A4061" w:rsidP="005A71C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91C8C" w:rsidRDefault="00591C8C"/>
    <w:sectPr w:rsidR="00591C8C" w:rsidSect="00591C8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AE0" w:rsidRDefault="00086AE0" w:rsidP="001A4061">
      <w:pPr>
        <w:spacing w:after="0" w:line="240" w:lineRule="auto"/>
      </w:pPr>
      <w:r>
        <w:separator/>
      </w:r>
    </w:p>
  </w:endnote>
  <w:endnote w:type="continuationSeparator" w:id="0">
    <w:p w:rsidR="00086AE0" w:rsidRDefault="00086AE0" w:rsidP="001A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AE0" w:rsidRDefault="00086AE0" w:rsidP="001A4061">
      <w:pPr>
        <w:spacing w:after="0" w:line="240" w:lineRule="auto"/>
      </w:pPr>
      <w:r>
        <w:separator/>
      </w:r>
    </w:p>
  </w:footnote>
  <w:footnote w:type="continuationSeparator" w:id="0">
    <w:p w:rsidR="00086AE0" w:rsidRDefault="00086AE0" w:rsidP="001A4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061" w:rsidRDefault="001A4061" w:rsidP="001A4061">
    <w:pPr>
      <w:pStyle w:val="Cabealho"/>
      <w:jc w:val="center"/>
      <w:rPr>
        <w:rFonts w:ascii="Times New Roman" w:hAnsi="Times New Roman" w:cs="Times New Roman"/>
      </w:rPr>
    </w:pPr>
    <w:r>
      <w:tab/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-272415</wp:posOffset>
          </wp:positionV>
          <wp:extent cx="626110" cy="6178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110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4061" w:rsidRDefault="001A4061" w:rsidP="001A4061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  <w:p w:rsidR="001A4061" w:rsidRDefault="001A4061" w:rsidP="001A4061">
    <w:pPr>
      <w:pStyle w:val="Cabealho"/>
      <w:jc w:val="center"/>
      <w:rPr>
        <w:rFonts w:ascii="Times New Roman" w:hAnsi="Times New Roman" w:cs="Times New Roman"/>
        <w:sz w:val="19"/>
        <w:szCs w:val="19"/>
      </w:rPr>
    </w:pPr>
  </w:p>
  <w:p w:rsidR="001A4061" w:rsidRPr="00DC1FE6" w:rsidRDefault="001A4061" w:rsidP="001A4061">
    <w:pPr>
      <w:pStyle w:val="Cabealho"/>
      <w:jc w:val="center"/>
      <w:rPr>
        <w:rFonts w:ascii="Times New Roman" w:hAnsi="Times New Roman" w:cs="Times New Roman"/>
        <w:sz w:val="19"/>
        <w:szCs w:val="19"/>
      </w:rPr>
    </w:pPr>
    <w:r w:rsidRPr="00DC1FE6">
      <w:rPr>
        <w:rFonts w:ascii="Times New Roman" w:hAnsi="Times New Roman" w:cs="Times New Roman"/>
        <w:sz w:val="19"/>
        <w:szCs w:val="19"/>
      </w:rPr>
      <w:t>MINISTÉRIO DA EDUCAÇÃO</w:t>
    </w:r>
  </w:p>
  <w:p w:rsidR="001A4061" w:rsidRPr="00DC1FE6" w:rsidRDefault="001A4061" w:rsidP="001A4061">
    <w:pPr>
      <w:pStyle w:val="Cabealho"/>
      <w:jc w:val="center"/>
      <w:rPr>
        <w:rFonts w:ascii="Times New Roman" w:hAnsi="Times New Roman" w:cs="Times New Roman"/>
        <w:sz w:val="19"/>
        <w:szCs w:val="19"/>
      </w:rPr>
    </w:pPr>
    <w:r w:rsidRPr="00DC1FE6">
      <w:rPr>
        <w:rFonts w:ascii="Times New Roman" w:hAnsi="Times New Roman" w:cs="Times New Roman"/>
        <w:sz w:val="19"/>
        <w:szCs w:val="19"/>
      </w:rPr>
      <w:t>SECRETARIA DE EDUCAÇÃO PROFISSIONAL E TECNOLÓGICA</w:t>
    </w:r>
  </w:p>
  <w:p w:rsidR="001A4061" w:rsidRPr="00DC1FE6" w:rsidRDefault="001A4061" w:rsidP="001A4061">
    <w:pPr>
      <w:pStyle w:val="Cabealho"/>
      <w:jc w:val="center"/>
      <w:rPr>
        <w:rFonts w:ascii="Times New Roman" w:hAnsi="Times New Roman" w:cs="Times New Roman"/>
        <w:sz w:val="19"/>
        <w:szCs w:val="19"/>
      </w:rPr>
    </w:pPr>
    <w:r w:rsidRPr="00DC1FE6">
      <w:rPr>
        <w:rFonts w:ascii="Times New Roman" w:hAnsi="Times New Roman" w:cs="Times New Roman"/>
        <w:sz w:val="19"/>
        <w:szCs w:val="19"/>
      </w:rPr>
      <w:t xml:space="preserve">INSTITUTO FEDERAL DE EDUCAÇÃO, CIÊNCIA E TECNOLOGIA DA PARAÍBA – CAMPUS </w:t>
    </w:r>
    <w:proofErr w:type="gramStart"/>
    <w:r w:rsidRPr="00DC1FE6">
      <w:rPr>
        <w:rFonts w:ascii="Times New Roman" w:hAnsi="Times New Roman" w:cs="Times New Roman"/>
        <w:sz w:val="19"/>
        <w:szCs w:val="19"/>
      </w:rPr>
      <w:t>SOUSA</w:t>
    </w:r>
    <w:proofErr w:type="gramEnd"/>
  </w:p>
  <w:p w:rsidR="001A4061" w:rsidRPr="00DC1FE6" w:rsidRDefault="001A4061" w:rsidP="001A4061">
    <w:pPr>
      <w:pStyle w:val="Cabealho"/>
      <w:jc w:val="center"/>
      <w:rPr>
        <w:rFonts w:ascii="Times New Roman" w:hAnsi="Times New Roman" w:cs="Times New Roman"/>
        <w:sz w:val="19"/>
        <w:szCs w:val="19"/>
      </w:rPr>
    </w:pPr>
    <w:r w:rsidRPr="00DC1FE6">
      <w:rPr>
        <w:rFonts w:ascii="Times New Roman" w:hAnsi="Times New Roman" w:cs="Times New Roman"/>
        <w:sz w:val="19"/>
        <w:szCs w:val="19"/>
      </w:rPr>
      <w:t>EDITAL DIRETORIA</w:t>
    </w:r>
    <w:r>
      <w:rPr>
        <w:rFonts w:ascii="Times New Roman" w:hAnsi="Times New Roman" w:cs="Times New Roman"/>
        <w:sz w:val="19"/>
        <w:szCs w:val="19"/>
      </w:rPr>
      <w:t xml:space="preserve"> DE DESENVOLVIMENTO DO ENSINO Nº 22</w:t>
    </w:r>
    <w:r w:rsidRPr="00DC1FE6">
      <w:rPr>
        <w:rFonts w:ascii="Times New Roman" w:hAnsi="Times New Roman" w:cs="Times New Roman"/>
        <w:sz w:val="19"/>
        <w:szCs w:val="19"/>
      </w:rPr>
      <w:t>/201</w:t>
    </w:r>
    <w:r>
      <w:rPr>
        <w:rFonts w:ascii="Times New Roman" w:hAnsi="Times New Roman" w:cs="Times New Roman"/>
        <w:sz w:val="19"/>
        <w:szCs w:val="19"/>
      </w:rPr>
      <w:t>9</w:t>
    </w:r>
  </w:p>
  <w:p w:rsidR="001A4061" w:rsidRDefault="001A4061" w:rsidP="001A4061">
    <w:pPr>
      <w:pStyle w:val="Cabealho"/>
      <w:tabs>
        <w:tab w:val="clear" w:pos="4252"/>
        <w:tab w:val="clear" w:pos="8504"/>
        <w:tab w:val="left" w:pos="237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061"/>
    <w:rsid w:val="00086AE0"/>
    <w:rsid w:val="001A4061"/>
    <w:rsid w:val="0059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6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4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A4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06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A4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A4061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3115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1</cp:revision>
  <dcterms:created xsi:type="dcterms:W3CDTF">2019-05-17T14:35:00Z</dcterms:created>
  <dcterms:modified xsi:type="dcterms:W3CDTF">2019-05-17T14:37:00Z</dcterms:modified>
</cp:coreProperties>
</file>