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bCs/>
          <w:iCs/>
          <w:color w:val="000000"/>
          <w:sz w:val="21"/>
          <w:szCs w:val="21"/>
        </w:rPr>
      </w:pPr>
    </w:p>
    <w:p>
      <w:pPr>
        <w:pStyle w:val="23"/>
        <w:shd w:val="clear" w:color="auto" w:fill="E6E6E6"/>
        <w:overflowPunct w:val="0"/>
        <w:jc w:val="center"/>
        <w:rPr>
          <w:rFonts w:hint="default" w:ascii="Arial" w:hAnsi="Arial" w:cs="Arial"/>
          <w:b/>
          <w:bCs/>
          <w:color w:val="000000"/>
          <w:sz w:val="21"/>
          <w:szCs w:val="21"/>
        </w:rPr>
      </w:pPr>
      <w:r>
        <w:rPr>
          <w:rFonts w:hint="default" w:ascii="Arial" w:hAnsi="Arial" w:cs="Arial"/>
          <w:b/>
          <w:bCs/>
          <w:color w:val="000000" w:themeColor="text1"/>
          <w:sz w:val="21"/>
          <w:szCs w:val="21"/>
          <w:lang w:val="pt-BR"/>
          <w14:textFill>
            <w14:solidFill>
              <w14:schemeClr w14:val="tx1"/>
            </w14:solidFill>
          </w14:textFill>
        </w:rPr>
        <w:t>ANEXO II - MINUTA DA ATA DE REGISTRO DE PREÇOS</w:t>
      </w:r>
    </w:p>
    <w:p>
      <w:pPr>
        <w:jc w:val="center"/>
        <w:rPr>
          <w:rFonts w:hint="default" w:ascii="Arial" w:hAnsi="Arial" w:cs="Arial"/>
          <w:b/>
          <w:bCs/>
          <w:iCs/>
          <w:color w:val="000000"/>
          <w:sz w:val="21"/>
          <w:szCs w:val="21"/>
        </w:rPr>
      </w:pPr>
    </w:p>
    <w:p>
      <w:pPr>
        <w:spacing w:after="0"/>
        <w:jc w:val="center"/>
        <w:rPr>
          <w:rFonts w:hint="default" w:ascii="Arial" w:hAnsi="Arial" w:cs="Arial"/>
          <w:b/>
          <w:bCs/>
          <w:color w:val="000000" w:themeColor="text1"/>
          <w:sz w:val="21"/>
          <w:szCs w:val="21"/>
          <w14:textFill>
            <w14:solidFill>
              <w14:schemeClr w14:val="tx1"/>
            </w14:solidFill>
          </w14:textFill>
        </w:rPr>
      </w:pPr>
      <w:r>
        <w:rPr>
          <w:rFonts w:hint="default" w:ascii="Arial" w:hAnsi="Arial" w:cs="Arial"/>
          <w:b/>
          <w:bCs/>
          <w:color w:val="000000" w:themeColor="text1"/>
          <w:sz w:val="21"/>
          <w:szCs w:val="21"/>
          <w14:textFill>
            <w14:solidFill>
              <w14:schemeClr w14:val="tx1"/>
            </w14:solidFill>
          </w14:textFill>
        </w:rPr>
        <w:t xml:space="preserve">PREGÃO ELETRÔNICO (SRP) n.° </w:t>
      </w:r>
      <w:r>
        <w:rPr>
          <w:rFonts w:hint="default" w:ascii="Arial" w:hAnsi="Arial" w:cs="Arial"/>
          <w:b/>
          <w:bCs/>
          <w:color w:val="FF0000"/>
          <w:sz w:val="21"/>
          <w:szCs w:val="21"/>
        </w:rPr>
        <w:t>0</w:t>
      </w:r>
      <w:r>
        <w:rPr>
          <w:rFonts w:hint="default" w:ascii="Arial" w:hAnsi="Arial" w:cs="Arial"/>
          <w:b/>
          <w:bCs/>
          <w:color w:val="FF0000"/>
          <w:sz w:val="21"/>
          <w:szCs w:val="21"/>
          <w:lang w:val="pt-BR"/>
        </w:rPr>
        <w:t>6</w:t>
      </w:r>
      <w:r>
        <w:rPr>
          <w:rFonts w:hint="default" w:ascii="Arial" w:hAnsi="Arial" w:cs="Arial"/>
          <w:b/>
          <w:bCs/>
          <w:color w:val="FF0000"/>
          <w:sz w:val="21"/>
          <w:szCs w:val="21"/>
        </w:rPr>
        <w:t>/2020</w:t>
      </w:r>
    </w:p>
    <w:p>
      <w:pPr>
        <w:spacing w:after="0"/>
        <w:jc w:val="center"/>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(Processo Administrativo n.° 23381.002480.2020-63)</w:t>
      </w:r>
    </w:p>
    <w:p>
      <w:pPr>
        <w:widowControl w:val="0"/>
        <w:autoSpaceDE w:val="0"/>
        <w:autoSpaceDN w:val="0"/>
        <w:adjustRightInd w:val="0"/>
        <w:ind w:right="-30"/>
        <w:jc w:val="center"/>
        <w:rPr>
          <w:rFonts w:hint="default" w:ascii="Arial" w:hAnsi="Arial" w:cs="Arial"/>
          <w:sz w:val="21"/>
          <w:szCs w:val="21"/>
        </w:rPr>
      </w:pPr>
    </w:p>
    <w:p>
      <w:pPr>
        <w:widowControl w:val="0"/>
        <w:autoSpaceDE w:val="0"/>
        <w:autoSpaceDN w:val="0"/>
        <w:adjustRightInd w:val="0"/>
        <w:ind w:right="-30"/>
        <w:jc w:val="center"/>
        <w:rPr>
          <w:rFonts w:hint="default" w:ascii="Arial" w:hAnsi="Arial" w:cs="Arial"/>
          <w:sz w:val="21"/>
          <w:szCs w:val="21"/>
        </w:rPr>
      </w:pPr>
    </w:p>
    <w:p>
      <w:pPr>
        <w:widowControl w:val="0"/>
        <w:autoSpaceDE w:val="0"/>
        <w:autoSpaceDN w:val="0"/>
        <w:adjustRightInd w:val="0"/>
        <w:ind w:right="-30"/>
        <w:jc w:val="center"/>
        <w:rPr>
          <w:rFonts w:hint="default" w:ascii="Arial" w:hAnsi="Arial" w:cs="Arial"/>
          <w:sz w:val="21"/>
          <w:szCs w:val="21"/>
        </w:rPr>
      </w:pPr>
      <w:r>
        <w:rPr>
          <w:rFonts w:hint="default" w:ascii="Arial" w:hAnsi="Arial" w:cs="Arial"/>
          <w:sz w:val="21"/>
          <w:szCs w:val="21"/>
        </w:rPr>
        <w:t xml:space="preserve">ATA DE REGISTRO DE PREÇOS </w:t>
      </w:r>
    </w:p>
    <w:p>
      <w:pPr>
        <w:widowControl w:val="0"/>
        <w:autoSpaceDE w:val="0"/>
        <w:autoSpaceDN w:val="0"/>
        <w:adjustRightInd w:val="0"/>
        <w:ind w:right="-30"/>
        <w:jc w:val="center"/>
        <w:rPr>
          <w:rFonts w:hint="default" w:ascii="Arial" w:hAnsi="Arial" w:cs="Arial"/>
          <w:bCs/>
          <w:sz w:val="21"/>
          <w:szCs w:val="21"/>
        </w:rPr>
      </w:pPr>
      <w:r>
        <w:rPr>
          <w:rFonts w:hint="default" w:ascii="Arial" w:hAnsi="Arial" w:cs="Arial"/>
          <w:bCs/>
          <w:sz w:val="21"/>
          <w:szCs w:val="21"/>
        </w:rPr>
        <w:t>N.º .........</w:t>
      </w:r>
    </w:p>
    <w:p>
      <w:pPr>
        <w:widowControl w:val="0"/>
        <w:autoSpaceDE w:val="0"/>
        <w:autoSpaceDN w:val="0"/>
        <w:adjustRightInd w:val="0"/>
        <w:ind w:right="-30"/>
        <w:jc w:val="both"/>
        <w:rPr>
          <w:rFonts w:hint="default" w:ascii="Arial" w:hAnsi="Arial" w:cs="Arial"/>
          <w:sz w:val="21"/>
          <w:szCs w:val="21"/>
        </w:rPr>
      </w:pPr>
    </w:p>
    <w:p>
      <w:pPr>
        <w:widowControl w:val="0"/>
        <w:tabs>
          <w:tab w:val="center" w:pos="4779"/>
          <w:tab w:val="right" w:pos="9198"/>
        </w:tabs>
        <w:autoSpaceDE w:val="0"/>
        <w:autoSpaceDN w:val="0"/>
        <w:adjustRightInd w:val="0"/>
        <w:ind w:right="-28"/>
        <w:jc w:val="both"/>
        <w:rPr>
          <w:rFonts w:hint="default" w:ascii="Arial" w:hAnsi="Arial" w:cs="Arial"/>
          <w:sz w:val="21"/>
          <w:szCs w:val="21"/>
        </w:rPr>
      </w:pPr>
      <w:r>
        <w:rPr>
          <w:rFonts w:hint="default" w:ascii="Arial" w:hAnsi="Arial" w:cs="Arial"/>
          <w:sz w:val="21"/>
          <w:szCs w:val="21"/>
        </w:rPr>
        <w:t>O INSTITUTO FEDERAL DE EDUCAÇÃO, CIÊNCIA E TECNOLOGIA DA PARAÍBA – REITORIA, com sede na Avenida Almirante Barroso, 1077, Centro, na cidade de João Pessoa – Paraíba, inscrito no CNPJ/M</w:t>
      </w:r>
      <w:r>
        <w:rPr>
          <w:rFonts w:hint="default" w:cs="Arial"/>
          <w:sz w:val="21"/>
          <w:szCs w:val="21"/>
          <w:lang w:val="pt-BR"/>
        </w:rPr>
        <w:t>E</w:t>
      </w:r>
      <w:r>
        <w:rPr>
          <w:rFonts w:hint="default" w:ascii="Arial" w:hAnsi="Arial" w:cs="Arial"/>
          <w:sz w:val="21"/>
          <w:szCs w:val="21"/>
        </w:rPr>
        <w:t xml:space="preserve"> sob o n.° 10.783.898/0001-75, neste ato representado pelo Reitor Cícero Nicácio do Nascimento Lopes, nomeado pelo Decreto de 22 de outubro de 2018, publicada no DOU de 23 de outubro de 2018, portador da matrícula funcional </w:t>
      </w:r>
      <w:r>
        <w:rPr>
          <w:rFonts w:hint="default" w:cs="Arial"/>
          <w:sz w:val="21"/>
          <w:szCs w:val="21"/>
          <w:lang w:val="pt-BR"/>
        </w:rPr>
        <w:t>n.°</w:t>
      </w:r>
      <w:r>
        <w:rPr>
          <w:rFonts w:hint="default" w:ascii="Arial" w:hAnsi="Arial" w:cs="Arial"/>
          <w:sz w:val="21"/>
          <w:szCs w:val="21"/>
        </w:rPr>
        <w:t xml:space="preserve"> 274008, considerando o julgamento da licitação na modalidade de pregão, na forma eletrônica, para REGISTRO DE PREÇOS n</w:t>
      </w:r>
      <w:r>
        <w:rPr>
          <w:rFonts w:hint="default" w:ascii="Arial" w:hAnsi="Arial" w:cs="Arial"/>
          <w:sz w:val="21"/>
          <w:szCs w:val="21"/>
          <w:lang w:val="pt-BR"/>
        </w:rPr>
        <w:t>.</w:t>
      </w:r>
      <w:r>
        <w:rPr>
          <w:rFonts w:hint="default" w:ascii="Arial" w:hAnsi="Arial" w:cs="Arial"/>
          <w:sz w:val="21"/>
          <w:szCs w:val="21"/>
        </w:rPr>
        <w:t xml:space="preserve">º </w:t>
      </w:r>
      <w:r>
        <w:rPr>
          <w:rFonts w:hint="default" w:ascii="Arial" w:hAnsi="Arial" w:cs="Arial"/>
          <w:b/>
          <w:bCs/>
          <w:color w:val="FF0000"/>
          <w:sz w:val="21"/>
          <w:szCs w:val="21"/>
        </w:rPr>
        <w:t>0</w:t>
      </w:r>
      <w:r>
        <w:rPr>
          <w:rFonts w:hint="default" w:ascii="Arial" w:hAnsi="Arial" w:cs="Arial"/>
          <w:b/>
          <w:bCs/>
          <w:color w:val="FF0000"/>
          <w:sz w:val="21"/>
          <w:szCs w:val="21"/>
          <w:lang w:val="pt-BR"/>
        </w:rPr>
        <w:t>6</w:t>
      </w:r>
      <w:r>
        <w:rPr>
          <w:rFonts w:hint="default" w:ascii="Arial" w:hAnsi="Arial" w:cs="Arial"/>
          <w:b/>
          <w:bCs/>
          <w:color w:val="FF0000"/>
          <w:sz w:val="21"/>
          <w:szCs w:val="21"/>
        </w:rPr>
        <w:t>/2020</w:t>
      </w:r>
      <w:r>
        <w:rPr>
          <w:rFonts w:hint="default" w:ascii="Arial" w:hAnsi="Arial" w:cs="Arial"/>
          <w:b/>
          <w:bCs/>
          <w:color w:val="FF0000"/>
          <w:sz w:val="21"/>
          <w:szCs w:val="21"/>
          <w:lang w:val="pt-BR"/>
        </w:rPr>
        <w:t>,</w:t>
      </w:r>
      <w:r>
        <w:rPr>
          <w:rFonts w:hint="default" w:ascii="Arial" w:hAnsi="Arial" w:cs="Arial"/>
          <w:sz w:val="21"/>
          <w:szCs w:val="21"/>
        </w:rPr>
        <w:t xml:space="preserve"> publicada no </w:t>
      </w:r>
      <w:r>
        <w:rPr>
          <w:rFonts w:hint="default" w:ascii="Arial" w:hAnsi="Arial" w:cs="Arial"/>
          <w:sz w:val="21"/>
          <w:szCs w:val="21"/>
          <w:lang w:val="pt-BR"/>
        </w:rPr>
        <w:t>Diário Oficial da União - DOU,</w:t>
      </w:r>
      <w:r>
        <w:rPr>
          <w:rFonts w:hint="default" w:ascii="Arial" w:hAnsi="Arial" w:cs="Arial"/>
          <w:sz w:val="21"/>
          <w:szCs w:val="21"/>
        </w:rPr>
        <w:t xml:space="preserve"> de ...../...../200....., processo administrativo n.º </w:t>
      </w:r>
      <w:r>
        <w:rPr>
          <w:rFonts w:hint="default" w:ascii="Arial" w:hAnsi="Arial" w:cs="Arial"/>
          <w:color w:val="000000" w:themeColor="text1"/>
          <w:sz w:val="21"/>
          <w:szCs w:val="21"/>
          <w14:textFill>
            <w14:solidFill>
              <w14:schemeClr w14:val="tx1"/>
            </w14:solidFill>
          </w14:textFill>
        </w:rPr>
        <w:t>23381.002480.2020-63</w:t>
      </w:r>
      <w:r>
        <w:rPr>
          <w:rFonts w:hint="default" w:ascii="Arial" w:hAnsi="Arial" w:cs="Arial"/>
          <w:sz w:val="21"/>
          <w:szCs w:val="21"/>
        </w:rPr>
        <w:t>, RESOLVE registrar os preços da(s)  empresa(s) indicada(s) e qualificada(s) nesta ATA, de acordo com a classificação por ela(s) alcançada(s) e na(s)  quantidade(s)  cotada(s), atendendo as condições previstas no edital, sujeitando-se as partes às normas constantes na Lei n</w:t>
      </w:r>
      <w:r>
        <w:rPr>
          <w:rFonts w:hint="default" w:ascii="Arial" w:hAnsi="Arial" w:cs="Arial"/>
          <w:sz w:val="21"/>
          <w:szCs w:val="21"/>
          <w:lang w:val="pt-BR"/>
        </w:rPr>
        <w:t>.</w:t>
      </w:r>
      <w:r>
        <w:rPr>
          <w:rFonts w:hint="default" w:ascii="Arial" w:hAnsi="Arial" w:cs="Arial"/>
          <w:sz w:val="21"/>
          <w:szCs w:val="21"/>
        </w:rPr>
        <w:t>º 8.666, de 21 de junho de 1993 e suas alterações, no Decreto n.º 7.892, de 23 de janeiro de 2013, e em conformidade com as disposições a seguir:</w:t>
      </w:r>
    </w:p>
    <w:p>
      <w:pPr>
        <w:widowControl w:val="0"/>
        <w:tabs>
          <w:tab w:val="center" w:pos="4779"/>
          <w:tab w:val="right" w:pos="9198"/>
        </w:tabs>
        <w:autoSpaceDE w:val="0"/>
        <w:autoSpaceDN w:val="0"/>
        <w:adjustRightInd w:val="0"/>
        <w:ind w:right="-28"/>
        <w:jc w:val="both"/>
        <w:rPr>
          <w:rFonts w:hint="default" w:ascii="Arial" w:hAnsi="Arial" w:cs="Arial"/>
          <w:sz w:val="21"/>
          <w:szCs w:val="21"/>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rPr>
      </w:pPr>
      <w:r>
        <w:rPr>
          <w:rFonts w:hint="default" w:ascii="Arial" w:hAnsi="Arial" w:cs="Arial"/>
          <w:b/>
          <w:bCs/>
          <w:sz w:val="21"/>
          <w:szCs w:val="21"/>
        </w:rPr>
        <w:t>DO OBJETO</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presente Ata tem por objeto o registro de preços para a eventual </w:t>
      </w:r>
      <w:r>
        <w:rPr>
          <w:rFonts w:hint="default" w:ascii="Arial" w:hAnsi="Arial" w:cs="Arial"/>
          <w:color w:val="000000"/>
          <w:sz w:val="21"/>
          <w:szCs w:val="21"/>
        </w:rPr>
        <w:t xml:space="preserve">aquisição </w:t>
      </w:r>
      <w:r>
        <w:rPr>
          <w:rFonts w:hint="default" w:ascii="Arial" w:hAnsi="Arial"/>
          <w:color w:val="000000"/>
          <w:sz w:val="21"/>
          <w:szCs w:val="21"/>
        </w:rPr>
        <w:t>de materiais de consumo e permanente</w:t>
      </w:r>
      <w:r>
        <w:rPr>
          <w:rFonts w:hint="default" w:ascii="Arial" w:hAnsi="Arial" w:cs="Arial"/>
          <w:sz w:val="21"/>
          <w:szCs w:val="21"/>
        </w:rPr>
        <w:t xml:space="preserve">, especificado(s) no(s) item(ns).......... do .......... Termo de Referência, </w:t>
      </w:r>
      <w:r>
        <w:rPr>
          <w:rFonts w:hint="default" w:ascii="Arial" w:hAnsi="Arial" w:cs="Arial"/>
          <w:sz w:val="21"/>
          <w:szCs w:val="21"/>
          <w:lang w:val="pt-BR"/>
        </w:rPr>
        <w:t>A</w:t>
      </w:r>
      <w:r>
        <w:rPr>
          <w:rFonts w:hint="default" w:ascii="Arial" w:hAnsi="Arial" w:cs="Arial"/>
          <w:sz w:val="21"/>
          <w:szCs w:val="21"/>
        </w:rPr>
        <w:t xml:space="preserve">nexo </w:t>
      </w:r>
      <w:r>
        <w:rPr>
          <w:rFonts w:hint="default" w:ascii="Arial" w:hAnsi="Arial" w:cs="Arial"/>
          <w:sz w:val="21"/>
          <w:szCs w:val="21"/>
          <w:lang w:val="pt-BR"/>
        </w:rPr>
        <w:t>I</w:t>
      </w:r>
      <w:r>
        <w:rPr>
          <w:rFonts w:hint="default" w:ascii="Arial" w:hAnsi="Arial" w:cs="Arial"/>
          <w:sz w:val="21"/>
          <w:szCs w:val="21"/>
        </w:rPr>
        <w:t xml:space="preserve"> do </w:t>
      </w:r>
      <w:r>
        <w:rPr>
          <w:rFonts w:hint="default" w:ascii="Arial" w:hAnsi="Arial" w:cs="Arial"/>
          <w:sz w:val="21"/>
          <w:szCs w:val="21"/>
          <w:lang w:val="pt-BR"/>
        </w:rPr>
        <w:t>E</w:t>
      </w:r>
      <w:r>
        <w:rPr>
          <w:rFonts w:hint="default" w:ascii="Arial" w:hAnsi="Arial" w:cs="Arial"/>
          <w:sz w:val="21"/>
          <w:szCs w:val="21"/>
        </w:rPr>
        <w:t xml:space="preserve">dital de </w:t>
      </w:r>
      <w:r>
        <w:rPr>
          <w:rFonts w:hint="default" w:ascii="Arial" w:hAnsi="Arial" w:cs="Arial"/>
          <w:i w:val="0"/>
          <w:iCs/>
          <w:sz w:val="21"/>
          <w:szCs w:val="21"/>
        </w:rPr>
        <w:t>Pregão</w:t>
      </w:r>
      <w:r>
        <w:rPr>
          <w:rFonts w:hint="default" w:ascii="Arial" w:hAnsi="Arial" w:cs="Arial"/>
          <w:sz w:val="21"/>
          <w:szCs w:val="21"/>
        </w:rPr>
        <w:t xml:space="preserve"> </w:t>
      </w:r>
      <w:r>
        <w:rPr>
          <w:rFonts w:hint="default" w:ascii="Arial" w:hAnsi="Arial" w:cs="Arial"/>
          <w:sz w:val="21"/>
          <w:szCs w:val="21"/>
          <w:lang w:val="pt-BR"/>
        </w:rPr>
        <w:t xml:space="preserve">Eletrônico (SRP) </w:t>
      </w:r>
      <w:r>
        <w:rPr>
          <w:rFonts w:hint="default" w:ascii="Arial" w:hAnsi="Arial" w:cs="Arial"/>
          <w:sz w:val="21"/>
          <w:szCs w:val="21"/>
        </w:rPr>
        <w:t>n</w:t>
      </w:r>
      <w:r>
        <w:rPr>
          <w:rFonts w:hint="default" w:ascii="Arial" w:hAnsi="Arial" w:cs="Arial"/>
          <w:sz w:val="21"/>
          <w:szCs w:val="21"/>
          <w:lang w:val="pt-BR"/>
        </w:rPr>
        <w:t>.</w:t>
      </w:r>
      <w:r>
        <w:rPr>
          <w:rFonts w:hint="default" w:ascii="Arial" w:hAnsi="Arial" w:cs="Arial"/>
          <w:sz w:val="21"/>
          <w:szCs w:val="21"/>
        </w:rPr>
        <w:t>º</w:t>
      </w:r>
      <w:r>
        <w:rPr>
          <w:rFonts w:hint="default" w:ascii="Arial" w:hAnsi="Arial" w:cs="Arial"/>
          <w:sz w:val="21"/>
          <w:szCs w:val="21"/>
          <w:lang w:val="pt-BR"/>
        </w:rPr>
        <w:t xml:space="preserve"> </w:t>
      </w:r>
      <w:r>
        <w:rPr>
          <w:rFonts w:hint="default" w:ascii="Arial" w:hAnsi="Arial" w:cs="Arial"/>
          <w:b/>
          <w:bCs/>
          <w:color w:val="FF0000"/>
          <w:sz w:val="21"/>
          <w:szCs w:val="21"/>
        </w:rPr>
        <w:t>0</w:t>
      </w:r>
      <w:r>
        <w:rPr>
          <w:rFonts w:hint="default" w:ascii="Arial" w:hAnsi="Arial" w:cs="Arial"/>
          <w:b/>
          <w:bCs/>
          <w:color w:val="FF0000"/>
          <w:sz w:val="21"/>
          <w:szCs w:val="21"/>
          <w:lang w:val="pt-BR"/>
        </w:rPr>
        <w:t>6</w:t>
      </w:r>
      <w:r>
        <w:rPr>
          <w:rFonts w:hint="default" w:ascii="Arial" w:hAnsi="Arial" w:cs="Arial"/>
          <w:b/>
          <w:bCs/>
          <w:color w:val="FF0000"/>
          <w:sz w:val="21"/>
          <w:szCs w:val="21"/>
        </w:rPr>
        <w:t>/2020</w:t>
      </w:r>
      <w:r>
        <w:rPr>
          <w:rFonts w:hint="default" w:ascii="Arial" w:hAnsi="Arial" w:cs="Arial"/>
          <w:sz w:val="21"/>
          <w:szCs w:val="21"/>
        </w:rPr>
        <w:t>, que é parte integrante desta Ata, assim como a proposta vencedora, independentemente de transcrição.</w:t>
      </w:r>
    </w:p>
    <w:p>
      <w:pPr>
        <w:widowControl w:val="0"/>
        <w:autoSpaceDE w:val="0"/>
        <w:autoSpaceDN w:val="0"/>
        <w:adjustRightInd w:val="0"/>
        <w:ind w:left="792"/>
        <w:jc w:val="both"/>
        <w:rPr>
          <w:rFonts w:hint="default" w:ascii="Arial" w:hAnsi="Arial" w:cs="Arial"/>
          <w:sz w:val="21"/>
          <w:szCs w:val="21"/>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rPr>
      </w:pPr>
      <w:r>
        <w:rPr>
          <w:rFonts w:hint="default" w:ascii="Arial" w:hAnsi="Arial" w:cs="Arial"/>
          <w:b/>
          <w:bCs/>
          <w:sz w:val="21"/>
          <w:szCs w:val="21"/>
        </w:rPr>
        <w:t>DOS PREÇOS, ESPECIFICAÇÕES E QUANTITATIVOS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preço registrado, as especificações do objeto, a quantidade, fornecedor(es) e as demais condições ofertadas na(s) proposta(s) são as que seguem: </w:t>
      </w:r>
    </w:p>
    <w:tbl>
      <w:tblPr>
        <w:tblStyle w:val="8"/>
        <w:tblW w:w="91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63"/>
        <w:gridCol w:w="5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rPr>
                <w:rFonts w:hint="default" w:ascii="Arial" w:hAnsi="Arial" w:cs="Arial"/>
                <w:sz w:val="21"/>
                <w:szCs w:val="21"/>
              </w:rPr>
            </w:pPr>
            <w:r>
              <w:rPr>
                <w:rFonts w:hint="default" w:ascii="Arial" w:hAnsi="Arial" w:cs="Arial"/>
                <w:sz w:val="21"/>
                <w:szCs w:val="21"/>
              </w:rPr>
              <w:t xml:space="preserve">Empresa: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int="default" w:ascii="Arial" w:hAnsi="Arial" w:cs="Arial"/>
                <w:sz w:val="21"/>
                <w:szCs w:val="21"/>
              </w:rPr>
            </w:pPr>
            <w:r>
              <w:rPr>
                <w:rFonts w:hint="default" w:ascii="Arial" w:hAnsi="Arial" w:cs="Arial"/>
                <w:sz w:val="21"/>
                <w:szCs w:val="21"/>
              </w:rPr>
              <w:t xml:space="preserve">CNPJ/MF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int="default" w:ascii="Arial" w:hAnsi="Arial" w:cs="Arial"/>
                <w:sz w:val="21"/>
                <w:szCs w:val="21"/>
              </w:rPr>
            </w:pPr>
            <w:r>
              <w:rPr>
                <w:rFonts w:hint="default" w:ascii="Arial" w:hAnsi="Arial" w:cs="Arial"/>
                <w:sz w:val="21"/>
                <w:szCs w:val="21"/>
              </w:rPr>
              <w:t xml:space="preserve">Telefone: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hint="default" w:ascii="Arial" w:hAnsi="Arial" w:cs="Arial"/>
                <w:sz w:val="21"/>
                <w:szCs w:val="21"/>
              </w:rPr>
            </w:pPr>
            <w:r>
              <w:rPr>
                <w:rFonts w:hint="default" w:ascii="Arial" w:hAnsi="Arial" w:cs="Arial"/>
                <w:sz w:val="21"/>
                <w:szCs w:val="21"/>
              </w:rPr>
              <w:t xml:space="preserve">Endereço: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hint="default" w:ascii="Arial" w:hAnsi="Arial" w:cs="Arial"/>
                <w:sz w:val="21"/>
                <w:szCs w:val="21"/>
              </w:rPr>
            </w:pPr>
            <w:r>
              <w:rPr>
                <w:rFonts w:hint="default" w:ascii="Arial" w:hAnsi="Arial" w:cs="Arial"/>
                <w:sz w:val="21"/>
                <w:szCs w:val="21"/>
              </w:rPr>
              <w:t xml:space="preserve">Representante Legal: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int="default" w:ascii="Arial" w:hAnsi="Arial" w:cs="Arial"/>
                <w:sz w:val="21"/>
                <w:szCs w:val="21"/>
              </w:rPr>
            </w:pPr>
            <w:r>
              <w:rPr>
                <w:rFonts w:hint="default" w:ascii="Arial" w:hAnsi="Arial" w:cs="Arial"/>
                <w:sz w:val="21"/>
                <w:szCs w:val="21"/>
              </w:rPr>
              <w:t xml:space="preserve">RG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int="default" w:ascii="Arial" w:hAnsi="Arial" w:cs="Arial"/>
                <w:sz w:val="21"/>
                <w:szCs w:val="21"/>
              </w:rPr>
            </w:pPr>
            <w:r>
              <w:rPr>
                <w:rFonts w:hint="default" w:ascii="Arial" w:hAnsi="Arial" w:cs="Arial"/>
                <w:sz w:val="21"/>
                <w:szCs w:val="21"/>
              </w:rPr>
              <w:t xml:space="preserve">CPF/MF n.°: </w:t>
            </w:r>
          </w:p>
        </w:tc>
      </w:tr>
    </w:tbl>
    <w:p>
      <w:pPr>
        <w:numPr>
          <w:ilvl w:val="0"/>
          <w:numId w:val="0"/>
        </w:numPr>
        <w:autoSpaceDE w:val="0"/>
        <w:autoSpaceDN w:val="0"/>
        <w:adjustRightInd w:val="0"/>
        <w:spacing w:before="120" w:after="120" w:line="276" w:lineRule="auto"/>
        <w:ind w:left="425" w:leftChars="0"/>
        <w:jc w:val="both"/>
        <w:rPr>
          <w:rFonts w:hint="default" w:ascii="Arial" w:hAnsi="Arial" w:cs="Arial"/>
          <w:sz w:val="21"/>
          <w:szCs w:val="21"/>
        </w:rPr>
      </w:pPr>
    </w:p>
    <w:tbl>
      <w:tblPr>
        <w:tblStyle w:val="8"/>
        <w:tblW w:w="9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970"/>
        <w:gridCol w:w="956"/>
        <w:gridCol w:w="2966"/>
        <w:gridCol w:w="964"/>
        <w:gridCol w:w="1243"/>
        <w:gridCol w:w="1446"/>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70"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95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96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64"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QUANTIDADE TOTAL</w:t>
            </w:r>
          </w:p>
        </w:tc>
        <w:tc>
          <w:tcPr>
            <w:tcW w:w="14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 xml:space="preserve">VALOR UNITÁRIO </w:t>
            </w:r>
          </w:p>
        </w:tc>
        <w:tc>
          <w:tcPr>
            <w:tcW w:w="1353"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 xml:space="preserve">TOTAL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7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5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296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64"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4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5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97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5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296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64"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4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5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9" w:hRule="atLeast"/>
          <w:jc w:val="center"/>
        </w:trPr>
        <w:tc>
          <w:tcPr>
            <w:tcW w:w="97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95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2966"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p>
        </w:tc>
        <w:tc>
          <w:tcPr>
            <w:tcW w:w="96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14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R$</w:t>
            </w:r>
          </w:p>
        </w:tc>
        <w:tc>
          <w:tcPr>
            <w:tcW w:w="13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0" w:hRule="atLeast"/>
          <w:jc w:val="center"/>
        </w:trPr>
        <w:tc>
          <w:tcPr>
            <w:tcW w:w="97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95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2966"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p>
        </w:tc>
        <w:tc>
          <w:tcPr>
            <w:tcW w:w="96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14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R$</w:t>
            </w:r>
          </w:p>
        </w:tc>
        <w:tc>
          <w:tcPr>
            <w:tcW w:w="13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w:t>
            </w:r>
          </w:p>
        </w:tc>
      </w:tr>
    </w:tbl>
    <w:p>
      <w:pPr>
        <w:rPr>
          <w:rFonts w:hint="default" w:ascii="Arial" w:hAnsi="Arial" w:cs="Arial"/>
          <w:sz w:val="21"/>
          <w:szCs w:val="21"/>
          <w:lang w:eastAsia="en-US"/>
        </w:rPr>
      </w:pP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listagem do cadastro de reserva referente ao presente registro de preços consta como anexo a esta Ata.</w:t>
      </w:r>
    </w:p>
    <w:p>
      <w:pPr>
        <w:numPr>
          <w:ilvl w:val="0"/>
          <w:numId w:val="0"/>
        </w:numPr>
        <w:autoSpaceDE w:val="0"/>
        <w:autoSpaceDN w:val="0"/>
        <w:adjustRightInd w:val="0"/>
        <w:spacing w:before="120" w:after="120" w:line="276" w:lineRule="auto"/>
        <w:ind w:left="425" w:leftChars="0"/>
        <w:jc w:val="both"/>
        <w:rPr>
          <w:rFonts w:hint="default" w:ascii="Arial" w:hAnsi="Arial" w:cs="Arial"/>
          <w:sz w:val="21"/>
          <w:szCs w:val="21"/>
          <w:lang w:eastAsia="en-US"/>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rPr>
      </w:pPr>
      <w:r>
        <w:rPr>
          <w:rFonts w:hint="default" w:ascii="Arial" w:hAnsi="Arial" w:cs="Arial"/>
          <w:b/>
          <w:bCs/>
          <w:sz w:val="21"/>
          <w:szCs w:val="21"/>
        </w:rPr>
        <w:t>ÓRGÃO(S) GERENCIADOR E  PARTICIPANTE(S)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órgão gerenciador será o ......(nome do órgão)....</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São órgãos e entidades públicas participantes do registro de preços:</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0"/>
          <w:numId w:val="0"/>
        </w:numPr>
        <w:autoSpaceDE w:val="0"/>
        <w:autoSpaceDN w:val="0"/>
        <w:adjustRightInd w:val="0"/>
        <w:spacing w:before="120" w:after="120" w:line="276" w:lineRule="auto"/>
        <w:ind w:left="845" w:leftChars="0"/>
        <w:jc w:val="both"/>
        <w:rPr>
          <w:rFonts w:hint="default" w:ascii="Arial" w:hAnsi="Arial" w:cs="Arial"/>
          <w:sz w:val="21"/>
          <w:szCs w:val="21"/>
          <w:lang w:eastAsia="en-US"/>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lang w:eastAsia="en-US"/>
        </w:rPr>
      </w:pPr>
      <w:r>
        <w:rPr>
          <w:rFonts w:hint="default" w:ascii="Arial" w:hAnsi="Arial" w:cs="Arial"/>
          <w:b/>
          <w:bCs/>
          <w:sz w:val="21"/>
          <w:szCs w:val="21"/>
          <w:lang w:eastAsia="en-US"/>
        </w:rPr>
        <w:t>DA ADESÃO À ATA DE REGISTRO DE PREÇOS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Não será admitida a adesão à ata de registro de preços decorrente desta licitação.</w:t>
      </w:r>
    </w:p>
    <w:p>
      <w:pPr>
        <w:ind w:firstLine="567"/>
        <w:rPr>
          <w:rFonts w:hint="default" w:ascii="Arial" w:hAnsi="Arial" w:cs="Arial"/>
          <w:sz w:val="21"/>
          <w:szCs w:val="21"/>
          <w:lang w:eastAsia="en-US"/>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lang w:eastAsia="en-US"/>
        </w:rPr>
      </w:pPr>
      <w:r>
        <w:rPr>
          <w:rFonts w:hint="default" w:ascii="Arial" w:hAnsi="Arial" w:cs="Arial"/>
          <w:b/>
          <w:bCs/>
          <w:sz w:val="21"/>
          <w:szCs w:val="21"/>
          <w:lang w:eastAsia="en-US"/>
        </w:rPr>
        <w:t xml:space="preserve">VALIDADE DA ATA </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A validade da Ata de Registro de Preços será de </w:t>
      </w:r>
      <w:r>
        <w:rPr>
          <w:rFonts w:hint="default" w:ascii="Arial" w:hAnsi="Arial" w:cs="Arial"/>
          <w:b/>
          <w:bCs/>
          <w:i/>
          <w:iCs/>
          <w:sz w:val="21"/>
          <w:szCs w:val="21"/>
          <w:lang w:eastAsia="en-US"/>
        </w:rPr>
        <w:t xml:space="preserve">12 </w:t>
      </w:r>
      <w:r>
        <w:rPr>
          <w:rFonts w:hint="default" w:ascii="Arial" w:hAnsi="Arial" w:cs="Arial"/>
          <w:b/>
          <w:bCs/>
          <w:i/>
          <w:iCs/>
          <w:sz w:val="21"/>
          <w:szCs w:val="21"/>
          <w:lang w:val="pt-BR" w:eastAsia="en-US"/>
        </w:rPr>
        <w:t xml:space="preserve">(doze) </w:t>
      </w:r>
      <w:r>
        <w:rPr>
          <w:rFonts w:hint="default" w:ascii="Arial" w:hAnsi="Arial" w:cs="Arial"/>
          <w:b/>
          <w:bCs/>
          <w:i/>
          <w:iCs/>
          <w:sz w:val="21"/>
          <w:szCs w:val="21"/>
          <w:lang w:eastAsia="en-US"/>
        </w:rPr>
        <w:t>meses</w:t>
      </w:r>
      <w:r>
        <w:rPr>
          <w:rFonts w:hint="default" w:ascii="Arial" w:hAnsi="Arial" w:cs="Arial"/>
          <w:sz w:val="21"/>
          <w:szCs w:val="21"/>
          <w:lang w:eastAsia="en-US"/>
        </w:rPr>
        <w:t>, a partir do(a)................................, não podendo ser prorrogada.</w:t>
      </w:r>
    </w:p>
    <w:p>
      <w:pPr>
        <w:rPr>
          <w:rFonts w:hint="default" w:ascii="Arial" w:hAnsi="Arial" w:cs="Arial"/>
          <w:color w:val="00B050"/>
          <w:sz w:val="21"/>
          <w:szCs w:val="21"/>
          <w:lang w:eastAsia="en-US"/>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lang w:eastAsia="en-US"/>
        </w:rPr>
      </w:pPr>
      <w:r>
        <w:rPr>
          <w:rFonts w:hint="default" w:ascii="Arial" w:hAnsi="Arial" w:cs="Arial"/>
          <w:b/>
          <w:bCs/>
          <w:sz w:val="21"/>
          <w:szCs w:val="21"/>
          <w:lang w:eastAsia="en-US"/>
        </w:rPr>
        <w:t xml:space="preserve">REVISÃO E CANCELAMENTO </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A Administração realizará pesquisa de mercado periodicamente, em intervalos não superiores a </w:t>
      </w:r>
      <w:r>
        <w:rPr>
          <w:rFonts w:hint="default" w:ascii="Arial" w:hAnsi="Arial" w:cs="Arial"/>
          <w:b/>
          <w:bCs/>
          <w:i/>
          <w:iCs/>
          <w:sz w:val="21"/>
          <w:szCs w:val="21"/>
          <w:lang w:eastAsia="en-US"/>
        </w:rPr>
        <w:t>180 (cento e oitenta) dias</w:t>
      </w:r>
      <w:r>
        <w:rPr>
          <w:rFonts w:hint="default" w:ascii="Arial" w:hAnsi="Arial" w:cs="Arial"/>
          <w:sz w:val="21"/>
          <w:szCs w:val="21"/>
          <w:lang w:eastAsia="en-US"/>
        </w:rPr>
        <w:t>, a fim de verificar a vantajosidade dos preços registrados nesta Ata.</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Quando o preço registrado tornar-se superior ao preço praticado no mercado por motivo superveniente, a Administração convocará o(s) fornecedor(es) para negociar(em) a redução dos preços aos valores praticados pelo mercado.</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fornecedor que não aceitar reduzir seu preço ao valor praticado pelo mercado será liberado do compromisso assumido, sem aplicação de penalidade.</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A ordem de classificação dos fornecedores que aceitarem reduzir seus preços aos valores de mercado observará a classificação original.</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Quando o preço de mercado tornar-se superior aos preços registrados e o fornecedor não puder cumprir o compromisso, o órgão gerenciador poderá:</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liberar o fornecedor do compromisso assumido, caso a comunicação ocorra antes do pedido de fornecimento, e sem aplicação da penalidade se confirmada a veracidade dos motivos e comprovantes apresentados; e</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convocar os demais fornecedores para assegurar igual oportunidade de negociação.</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Não havendo êxito nas negociações, o órgão gerenciador deverá proceder à revogação desta ata de registro de preços, adotando as medidas cabíveis para obtenção da contratação mais vantajosa.</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registro do fornecedor será cancelado quando:</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descumprir as condições da ata de registro de preços;</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não retirar a nota de empenho ou instrumento equivalente no prazo estabelecido pela Administração, sem justificativa aceitável;</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não aceitar reduzir o seu preço registrado, na hipótese deste se tornar superior àqueles praticados no mercado; ou</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sofrer sanção administrativa cujo efeito torne-o proibido de celebrar contrato administrativo, alcançando o órgão gerenciador e órgão(s) participante(s).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cancelamento de registros nas hipóteses previstas nos itens 6.7.1, 6.7.2 e 6.7.4 será formalizado por despacho do órgão gerenciador, assegurado o contraditório e a ampla defesa.</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cancelamento do registro de preços poderá ocorrer por fato superveniente, decorrente de caso fortuito ou força maior, que prejudique o cumprimento da ata, devidamente comprovados e justificados:</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por razão de interesse público; ou</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a pedido do fornecedor. </w:t>
      </w:r>
    </w:p>
    <w:p>
      <w:pPr>
        <w:numPr>
          <w:ilvl w:val="0"/>
          <w:numId w:val="0"/>
        </w:numPr>
        <w:autoSpaceDE w:val="0"/>
        <w:autoSpaceDN w:val="0"/>
        <w:adjustRightInd w:val="0"/>
        <w:spacing w:before="120" w:after="120" w:line="276" w:lineRule="auto"/>
        <w:ind w:left="845" w:leftChars="0"/>
        <w:jc w:val="both"/>
        <w:rPr>
          <w:rFonts w:hint="default" w:ascii="Arial" w:hAnsi="Arial" w:cs="Arial"/>
          <w:sz w:val="21"/>
          <w:szCs w:val="21"/>
          <w:lang w:eastAsia="en-US"/>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lang w:eastAsia="en-US"/>
        </w:rPr>
      </w:pPr>
      <w:r>
        <w:rPr>
          <w:rFonts w:hint="default" w:ascii="Arial" w:hAnsi="Arial" w:cs="Arial"/>
          <w:b/>
          <w:bCs/>
          <w:sz w:val="21"/>
          <w:szCs w:val="21"/>
          <w:lang w:eastAsia="en-US"/>
        </w:rPr>
        <w:t>DAS PENALIDADES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descumprimento da Ata de Registro de Preços ensejará aplicação das penalidades estabelecidas no Edital.</w:t>
      </w:r>
    </w:p>
    <w:p>
      <w:pPr>
        <w:numPr>
          <w:ilvl w:val="2"/>
          <w:numId w:val="2"/>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As sanções do item acima também se aplicam aos integrantes do cadastro de reserva, em pregão para registro de preços que, convocados, não honrarem o compromisso assumido injustificadamente, nos termos do art. 49, §1º do Decreto nº 10.024/19. </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órgão participante deverá comunicar ao órgão gerenciador qualquer das ocorrências previstas no art. 20 do Decreto nº 7.892/2013, dada a necessidade de instauração de procedimento para cancelamento do registro do fornecedor.</w:t>
      </w:r>
    </w:p>
    <w:p>
      <w:pPr>
        <w:numPr>
          <w:ilvl w:val="0"/>
          <w:numId w:val="0"/>
        </w:numPr>
        <w:autoSpaceDE w:val="0"/>
        <w:autoSpaceDN w:val="0"/>
        <w:adjustRightInd w:val="0"/>
        <w:spacing w:before="120" w:after="120" w:line="276" w:lineRule="auto"/>
        <w:ind w:left="425" w:leftChars="0"/>
        <w:jc w:val="both"/>
        <w:rPr>
          <w:rFonts w:hint="default" w:ascii="Arial" w:hAnsi="Arial" w:cs="Arial"/>
          <w:sz w:val="21"/>
          <w:szCs w:val="21"/>
        </w:rPr>
      </w:pPr>
    </w:p>
    <w:p>
      <w:pPr>
        <w:numPr>
          <w:ilvl w:val="0"/>
          <w:numId w:val="2"/>
        </w:numPr>
        <w:autoSpaceDE w:val="0"/>
        <w:autoSpaceDN w:val="0"/>
        <w:adjustRightInd w:val="0"/>
        <w:spacing w:before="120" w:after="120" w:line="276" w:lineRule="auto"/>
        <w:ind w:left="0" w:firstLine="0"/>
        <w:jc w:val="both"/>
        <w:rPr>
          <w:rFonts w:hint="default" w:ascii="Arial" w:hAnsi="Arial" w:cs="Arial"/>
          <w:b/>
          <w:bCs/>
          <w:sz w:val="21"/>
          <w:szCs w:val="21"/>
          <w:lang w:eastAsia="en-US"/>
        </w:rPr>
      </w:pPr>
      <w:r>
        <w:rPr>
          <w:rFonts w:hint="default" w:ascii="Arial" w:hAnsi="Arial" w:cs="Arial"/>
          <w:b/>
          <w:bCs/>
          <w:sz w:val="21"/>
          <w:szCs w:val="21"/>
          <w:lang w:eastAsia="en-US"/>
        </w:rPr>
        <w:t>CONDIÇÕES GERAIS</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2"/>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É vedado efetuar acréscimos nos quantitativos fixados nesta ata de registro de preços, inclusive o acréscimo de que trata o § 1º do art. 65 da Lei nº 8.666/93, nos termos do art. 12, §1º do Decreto nº 7892/13.</w:t>
      </w:r>
    </w:p>
    <w:p>
      <w:pPr>
        <w:numPr>
          <w:ilvl w:val="1"/>
          <w:numId w:val="2"/>
        </w:numPr>
        <w:autoSpaceDE w:val="0"/>
        <w:autoSpaceDN w:val="0"/>
        <w:adjustRightInd w:val="0"/>
        <w:spacing w:before="120" w:after="120" w:line="276" w:lineRule="auto"/>
        <w:ind w:left="425" w:firstLine="0"/>
        <w:jc w:val="both"/>
        <w:rPr>
          <w:rFonts w:hint="default" w:ascii="Arial" w:hAnsi="Arial" w:cs="Arial"/>
          <w:iCs/>
          <w:sz w:val="21"/>
          <w:szCs w:val="21"/>
        </w:rPr>
      </w:pPr>
      <w:r>
        <w:rPr>
          <w:rFonts w:hint="default" w:ascii="Arial" w:hAnsi="Arial" w:cs="Arial"/>
          <w:iCs/>
          <w:sz w:val="21"/>
          <w:szCs w:val="21"/>
        </w:rPr>
        <w:t>A ata de realização da sessão pública do pregão, contendo a relação dos licitantes que aceitarem cotar os bens ou serviços com preços iguais ao do licitante vencedor do certame, compõe anexo a esta Ata de Registro de Preços, nos termos do art. 11, §4º do Decreto n. 7.892, de 2014.</w:t>
      </w:r>
    </w:p>
    <w:p>
      <w:pPr>
        <w:widowControl w:val="0"/>
        <w:autoSpaceDE w:val="0"/>
        <w:autoSpaceDN w:val="0"/>
        <w:adjustRightInd w:val="0"/>
        <w:ind w:right="-15"/>
        <w:jc w:val="both"/>
        <w:rPr>
          <w:rFonts w:hint="default" w:ascii="Arial" w:hAnsi="Arial" w:cs="Arial"/>
          <w:sz w:val="21"/>
          <w:szCs w:val="21"/>
        </w:rPr>
      </w:pPr>
    </w:p>
    <w:p>
      <w:pPr>
        <w:widowControl w:val="0"/>
        <w:autoSpaceDE w:val="0"/>
        <w:autoSpaceDN w:val="0"/>
        <w:adjustRightInd w:val="0"/>
        <w:ind w:right="-15"/>
        <w:jc w:val="both"/>
        <w:rPr>
          <w:rFonts w:hint="default" w:ascii="Arial" w:hAnsi="Arial" w:cs="Arial"/>
          <w:i/>
          <w:iCs/>
          <w:color w:val="FF0000"/>
          <w:sz w:val="21"/>
          <w:szCs w:val="21"/>
        </w:rPr>
      </w:pPr>
      <w:r>
        <w:rPr>
          <w:rFonts w:hint="default" w:ascii="Arial" w:hAnsi="Arial" w:cs="Arial"/>
          <w:sz w:val="21"/>
          <w:szCs w:val="21"/>
        </w:rPr>
        <w:t xml:space="preserve">Para firmeza e validade do pactuado, a presente Ata foi lavrada em </w:t>
      </w:r>
      <w:r>
        <w:rPr>
          <w:rFonts w:hint="default" w:cs="Arial"/>
          <w:b/>
          <w:bCs/>
          <w:i/>
          <w:iCs/>
          <w:sz w:val="21"/>
          <w:szCs w:val="21"/>
          <w:lang w:val="pt-BR"/>
        </w:rPr>
        <w:t>2</w:t>
      </w:r>
      <w:r>
        <w:rPr>
          <w:rFonts w:hint="default" w:ascii="Arial" w:hAnsi="Arial" w:cs="Arial"/>
          <w:b/>
          <w:bCs/>
          <w:i/>
          <w:iCs/>
          <w:sz w:val="21"/>
          <w:szCs w:val="21"/>
        </w:rPr>
        <w:t xml:space="preserve"> (</w:t>
      </w:r>
      <w:r>
        <w:rPr>
          <w:rFonts w:hint="default" w:cs="Arial"/>
          <w:b/>
          <w:bCs/>
          <w:i/>
          <w:iCs/>
          <w:sz w:val="21"/>
          <w:szCs w:val="21"/>
          <w:lang w:val="pt-BR"/>
        </w:rPr>
        <w:t>duas</w:t>
      </w:r>
      <w:r>
        <w:rPr>
          <w:rFonts w:hint="default" w:ascii="Arial" w:hAnsi="Arial" w:cs="Arial"/>
          <w:b/>
          <w:bCs/>
          <w:i/>
          <w:iCs/>
          <w:sz w:val="21"/>
          <w:szCs w:val="21"/>
        </w:rPr>
        <w:t>) vias</w:t>
      </w:r>
      <w:r>
        <w:rPr>
          <w:rFonts w:hint="default" w:ascii="Arial" w:hAnsi="Arial" w:cs="Arial"/>
          <w:sz w:val="21"/>
          <w:szCs w:val="21"/>
        </w:rPr>
        <w:t xml:space="preserve"> de igual teor, que, depois de lida e achada em ordem, vai assinada pelas partes </w:t>
      </w:r>
      <w:r>
        <w:rPr>
          <w:rFonts w:hint="default" w:ascii="Arial" w:hAnsi="Arial" w:cs="Arial"/>
          <w:i/>
          <w:iCs/>
          <w:color w:val="auto"/>
          <w:sz w:val="21"/>
          <w:szCs w:val="21"/>
        </w:rPr>
        <w:t>e encaminhada cópia aos demais órgãos participantes</w:t>
      </w:r>
      <w:r>
        <w:rPr>
          <w:rFonts w:hint="default" w:cs="Arial"/>
          <w:i/>
          <w:iCs/>
          <w:color w:val="auto"/>
          <w:sz w:val="21"/>
          <w:szCs w:val="21"/>
          <w:lang w:val="pt-BR"/>
        </w:rPr>
        <w:t>.</w:t>
      </w:r>
      <w:r>
        <w:rPr>
          <w:rFonts w:hint="default" w:ascii="Arial" w:hAnsi="Arial" w:cs="Arial"/>
          <w:i/>
          <w:iCs/>
          <w:color w:val="FF0000"/>
          <w:sz w:val="21"/>
          <w:szCs w:val="21"/>
        </w:rPr>
        <w:t xml:space="preserve">  </w:t>
      </w:r>
    </w:p>
    <w:p>
      <w:pPr>
        <w:widowControl w:val="0"/>
        <w:autoSpaceDE w:val="0"/>
        <w:autoSpaceDN w:val="0"/>
        <w:adjustRightInd w:val="0"/>
        <w:ind w:right="-15"/>
        <w:jc w:val="center"/>
        <w:rPr>
          <w:rFonts w:hint="default" w:ascii="Arial" w:hAnsi="Arial"/>
          <w:i/>
          <w:iCs/>
          <w:color w:val="auto"/>
          <w:sz w:val="21"/>
          <w:szCs w:val="21"/>
        </w:rPr>
      </w:pPr>
    </w:p>
    <w:p>
      <w:pPr>
        <w:widowControl w:val="0"/>
        <w:autoSpaceDE w:val="0"/>
        <w:autoSpaceDN w:val="0"/>
        <w:adjustRightInd w:val="0"/>
        <w:ind w:right="-15"/>
        <w:jc w:val="right"/>
        <w:rPr>
          <w:rFonts w:hint="default" w:ascii="Arial" w:hAnsi="Arial"/>
          <w:i/>
          <w:iCs/>
          <w:color w:val="auto"/>
          <w:sz w:val="21"/>
          <w:szCs w:val="21"/>
        </w:rPr>
      </w:pPr>
      <w:r>
        <w:rPr>
          <w:rFonts w:hint="default" w:ascii="Arial" w:hAnsi="Arial"/>
          <w:i/>
          <w:iCs/>
          <w:color w:val="auto"/>
          <w:sz w:val="21"/>
          <w:szCs w:val="21"/>
        </w:rPr>
        <w:t>João Pessoa - PB, ...... de ........................ de 2020</w:t>
      </w:r>
    </w:p>
    <w:p>
      <w:pPr>
        <w:widowControl w:val="0"/>
        <w:autoSpaceDE w:val="0"/>
        <w:autoSpaceDN w:val="0"/>
        <w:adjustRightInd w:val="0"/>
        <w:ind w:right="-15"/>
        <w:jc w:val="right"/>
        <w:rPr>
          <w:rFonts w:hint="default" w:ascii="Arial" w:hAnsi="Arial"/>
          <w:i/>
          <w:iCs/>
          <w:color w:val="auto"/>
          <w:sz w:val="21"/>
          <w:szCs w:val="21"/>
        </w:rPr>
      </w:pPr>
    </w:p>
    <w:p>
      <w:pPr>
        <w:widowControl w:val="0"/>
        <w:autoSpaceDE w:val="0"/>
        <w:autoSpaceDN w:val="0"/>
        <w:adjustRightInd w:val="0"/>
        <w:ind w:right="-15"/>
        <w:jc w:val="center"/>
        <w:rPr>
          <w:rFonts w:hint="default" w:ascii="Arial" w:hAnsi="Arial"/>
          <w:i/>
          <w:iCs/>
          <w:color w:val="auto"/>
          <w:sz w:val="21"/>
          <w:szCs w:val="21"/>
        </w:rPr>
      </w:pPr>
    </w:p>
    <w:p>
      <w:pPr>
        <w:widowControl w:val="0"/>
        <w:autoSpaceDE w:val="0"/>
        <w:autoSpaceDN w:val="0"/>
        <w:adjustRightInd w:val="0"/>
        <w:ind w:right="-15"/>
        <w:jc w:val="center"/>
        <w:rPr>
          <w:rFonts w:hint="default" w:ascii="Arial" w:hAnsi="Arial"/>
          <w:b/>
          <w:bCs/>
          <w:i/>
          <w:iCs/>
          <w:color w:val="auto"/>
          <w:sz w:val="21"/>
          <w:szCs w:val="21"/>
        </w:rPr>
      </w:pPr>
      <w:r>
        <w:rPr>
          <w:rFonts w:hint="default" w:ascii="Arial" w:hAnsi="Arial"/>
          <w:b/>
          <w:bCs/>
          <w:i/>
          <w:iCs/>
          <w:color w:val="auto"/>
          <w:sz w:val="21"/>
          <w:szCs w:val="21"/>
        </w:rPr>
        <w:t>CÍCERO NICÁCIO DO NASCIMENTO LOPES</w:t>
      </w:r>
    </w:p>
    <w:p>
      <w:pPr>
        <w:widowControl w:val="0"/>
        <w:autoSpaceDE w:val="0"/>
        <w:autoSpaceDN w:val="0"/>
        <w:adjustRightInd w:val="0"/>
        <w:ind w:right="-15"/>
        <w:jc w:val="center"/>
        <w:rPr>
          <w:rFonts w:hint="default" w:ascii="Arial" w:hAnsi="Arial"/>
          <w:i/>
          <w:iCs/>
          <w:color w:val="auto"/>
          <w:sz w:val="21"/>
          <w:szCs w:val="21"/>
        </w:rPr>
      </w:pPr>
      <w:r>
        <w:rPr>
          <w:rFonts w:hint="default" w:ascii="Arial" w:hAnsi="Arial"/>
          <w:i/>
          <w:iCs/>
          <w:color w:val="auto"/>
          <w:sz w:val="21"/>
          <w:szCs w:val="21"/>
        </w:rPr>
        <w:t>Reitor</w:t>
      </w:r>
    </w:p>
    <w:p>
      <w:pPr>
        <w:widowControl w:val="0"/>
        <w:autoSpaceDE w:val="0"/>
        <w:autoSpaceDN w:val="0"/>
        <w:adjustRightInd w:val="0"/>
        <w:ind w:right="-15"/>
        <w:jc w:val="center"/>
        <w:rPr>
          <w:rFonts w:hint="default" w:ascii="Arial" w:hAnsi="Arial"/>
          <w:i/>
          <w:iCs/>
          <w:color w:val="auto"/>
          <w:sz w:val="21"/>
          <w:szCs w:val="21"/>
        </w:rPr>
      </w:pPr>
      <w:bookmarkStart w:id="0" w:name="_GoBack"/>
      <w:bookmarkEnd w:id="0"/>
    </w:p>
    <w:p>
      <w:pPr>
        <w:widowControl w:val="0"/>
        <w:autoSpaceDE w:val="0"/>
        <w:autoSpaceDN w:val="0"/>
        <w:adjustRightInd w:val="0"/>
        <w:ind w:right="-15"/>
        <w:jc w:val="center"/>
        <w:rPr>
          <w:rFonts w:hint="default" w:ascii="Arial" w:hAnsi="Arial"/>
          <w:i/>
          <w:iCs/>
          <w:color w:val="auto"/>
          <w:sz w:val="21"/>
          <w:szCs w:val="21"/>
        </w:rPr>
      </w:pPr>
    </w:p>
    <w:p>
      <w:pPr>
        <w:widowControl w:val="0"/>
        <w:autoSpaceDE w:val="0"/>
        <w:autoSpaceDN w:val="0"/>
        <w:adjustRightInd w:val="0"/>
        <w:ind w:right="-15"/>
        <w:jc w:val="center"/>
        <w:rPr>
          <w:rFonts w:hint="default" w:ascii="Arial" w:hAnsi="Arial"/>
          <w:i/>
          <w:iCs/>
          <w:color w:val="auto"/>
          <w:sz w:val="21"/>
          <w:szCs w:val="21"/>
        </w:rPr>
      </w:pPr>
    </w:p>
    <w:p>
      <w:pPr>
        <w:widowControl w:val="0"/>
        <w:autoSpaceDE w:val="0"/>
        <w:autoSpaceDN w:val="0"/>
        <w:adjustRightInd w:val="0"/>
        <w:ind w:right="-15"/>
        <w:jc w:val="center"/>
        <w:rPr>
          <w:rFonts w:hint="default" w:ascii="Arial" w:hAnsi="Arial"/>
          <w:b/>
          <w:bCs/>
          <w:i/>
          <w:iCs/>
          <w:color w:val="auto"/>
          <w:sz w:val="21"/>
          <w:szCs w:val="21"/>
        </w:rPr>
      </w:pPr>
      <w:r>
        <w:rPr>
          <w:rFonts w:hint="default" w:ascii="Arial" w:hAnsi="Arial"/>
          <w:b/>
          <w:bCs/>
          <w:i/>
          <w:iCs/>
          <w:color w:val="auto"/>
          <w:sz w:val="21"/>
          <w:szCs w:val="21"/>
        </w:rPr>
        <w:t>[nome do signatário]</w:t>
      </w:r>
    </w:p>
    <w:p>
      <w:pPr>
        <w:widowControl w:val="0"/>
        <w:autoSpaceDE w:val="0"/>
        <w:autoSpaceDN w:val="0"/>
        <w:adjustRightInd w:val="0"/>
        <w:ind w:right="-15"/>
        <w:jc w:val="center"/>
        <w:rPr>
          <w:rFonts w:hint="default" w:ascii="Arial" w:hAnsi="Arial"/>
          <w:i/>
          <w:iCs/>
          <w:color w:val="auto"/>
          <w:sz w:val="21"/>
          <w:szCs w:val="21"/>
        </w:rPr>
      </w:pPr>
      <w:r>
        <w:rPr>
          <w:rFonts w:hint="default" w:ascii="Arial" w:hAnsi="Arial"/>
          <w:i/>
          <w:iCs/>
          <w:color w:val="auto"/>
          <w:sz w:val="21"/>
          <w:szCs w:val="21"/>
        </w:rPr>
        <w:t>RG n.°: .............. – SSP/........</w:t>
      </w: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libri"/>
    <w:panose1 w:val="020B0603030804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cs="Times New Roman"/>
      </w:rPr>
    </w:pPr>
    <w:r>
      <w:rPr>
        <w:rFonts w:ascii="Times New Roman" w:hAnsi="Times New Roman" w:cs="Times New Roman"/>
      </w:rPr>
      <w:t>____________________________________________________________________</w:t>
    </w:r>
  </w:p>
  <w:p>
    <w:pPr>
      <w:pStyle w:val="24"/>
      <w:spacing w:after="0" w:line="240" w:lineRule="auto"/>
      <w:jc w:val="both"/>
    </w:pPr>
    <w:r>
      <w:rPr>
        <w:rFonts w:ascii="Carlito" w:hAnsi="Carlito" w:cs="Carlito"/>
        <w:b/>
        <w:sz w:val="16"/>
        <w:szCs w:val="16"/>
        <w:shd w:val="clear" w:color="auto" w:fill="FFFFFF"/>
      </w:rPr>
      <w:t>Diretoria de Compras, Contratos e Licitações</w:t>
    </w:r>
  </w:p>
  <w:p>
    <w:pPr>
      <w:pStyle w:val="24"/>
      <w:spacing w:after="0" w:line="240" w:lineRule="auto"/>
      <w:jc w:val="both"/>
    </w:pPr>
    <w:r>
      <w:rPr>
        <w:rFonts w:ascii="Carlito" w:hAnsi="Carlito" w:cs="Carlito"/>
        <w:sz w:val="16"/>
        <w:szCs w:val="16"/>
        <w:shd w:val="clear" w:color="auto" w:fill="FFFFFF"/>
      </w:rPr>
      <w:t>Av. Almirante Barroso, 1077, Centro, João Pessoa/PB, CEP: 58.013-120</w:t>
    </w:r>
  </w:p>
  <w:p>
    <w:pPr>
      <w:pStyle w:val="24"/>
      <w:spacing w:after="0" w:line="240" w:lineRule="auto"/>
      <w:jc w:val="both"/>
      <w:rPr>
        <w:rFonts w:ascii="Arial" w:hAnsi="Arial" w:cs="Arial"/>
      </w:rPr>
    </w:pPr>
    <w:r>
      <w:rPr>
        <w:rFonts w:ascii="Carlito" w:hAnsi="Carlito" w:cs="Carlito"/>
        <w:sz w:val="16"/>
        <w:szCs w:val="16"/>
        <w:shd w:val="clear" w:color="auto"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overflowPunct w:val="0"/>
      <w:spacing w:after="0" w:line="240" w:lineRule="auto"/>
      <w:jc w:val="center"/>
      <w:rPr>
        <w:rFonts w:cs="Arial"/>
        <w:bCs/>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2482215</wp:posOffset>
          </wp:positionH>
          <wp:positionV relativeFrom="paragraph">
            <wp:posOffset>58420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bCs/>
        <w:sz w:val="21"/>
        <w:szCs w:val="21"/>
      </w:rPr>
    </w:pPr>
    <w:r>
      <w:rPr>
        <w:rFonts w:hint="default" w:ascii="Arial" w:hAnsi="Arial" w:cs="Arial"/>
        <w:bCs/>
        <w:sz w:val="21"/>
        <w:szCs w:val="21"/>
      </w:rPr>
      <w:t>Pró-Reitoria de Administração e Finanças</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lvlText w:val="%1."/>
      <w:lvlJc w:val="left"/>
      <w:pPr>
        <w:ind w:left="360" w:hanging="360"/>
      </w:pPr>
      <w:rPr>
        <w:b/>
        <w:color w:val="auto"/>
      </w:rPr>
    </w:lvl>
    <w:lvl w:ilvl="1" w:tentative="0">
      <w:start w:val="1"/>
      <w:numFmt w:val="decimal"/>
      <w:lvlText w:val="%1.%2."/>
      <w:lvlJc w:val="left"/>
      <w:pPr>
        <w:ind w:left="1283" w:hanging="432"/>
      </w:pPr>
      <w:rPr>
        <w:sz w:val="20"/>
        <w:szCs w:val="20"/>
      </w:rPr>
    </w:lvl>
    <w:lvl w:ilvl="2" w:tentative="0">
      <w:start w:val="1"/>
      <w:numFmt w:val="decimal"/>
      <w:lvlText w:val="%1.%2.%3."/>
      <w:lvlJc w:val="left"/>
      <w:pPr>
        <w:ind w:left="1497"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1D5C100D"/>
    <w:multiLevelType w:val="multilevel"/>
    <w:tmpl w:val="1D5C100D"/>
    <w:lvl w:ilvl="0" w:tentative="0">
      <w:start w:val="1"/>
      <w:numFmt w:val="decimal"/>
      <w:pStyle w:val="22"/>
      <w:lvlText w:val="%1."/>
      <w:lvlJc w:val="left"/>
      <w:pPr>
        <w:ind w:left="360" w:hanging="360"/>
      </w:pPr>
      <w:rPr>
        <w:b/>
      </w:rPr>
    </w:lvl>
    <w:lvl w:ilvl="1" w:tentative="0">
      <w:start w:val="1"/>
      <w:numFmt w:val="decimal"/>
      <w:lvlText w:val="%1.%2."/>
      <w:lvlJc w:val="left"/>
      <w:pPr>
        <w:ind w:left="999" w:hanging="432"/>
      </w:pPr>
      <w:rPr>
        <w:rFonts w:hint="default" w:ascii="Arial" w:hAnsi="Arial" w:cs="Arial"/>
        <w:b w:val="0"/>
        <w:i w:val="0"/>
        <w:strike w:val="0"/>
        <w:d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dstrike w:val="0"/>
        <w:color w:val="auto"/>
        <w:sz w:val="20"/>
        <w:szCs w:val="20"/>
        <w:u w:val="none"/>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5488C"/>
    <w:rsid w:val="000558FE"/>
    <w:rsid w:val="000B7011"/>
    <w:rsid w:val="000C62A3"/>
    <w:rsid w:val="000E55D0"/>
    <w:rsid w:val="000F3685"/>
    <w:rsid w:val="00113AE6"/>
    <w:rsid w:val="00122461"/>
    <w:rsid w:val="001256C2"/>
    <w:rsid w:val="0014613C"/>
    <w:rsid w:val="00171379"/>
    <w:rsid w:val="001770D2"/>
    <w:rsid w:val="001E0D7C"/>
    <w:rsid w:val="001F6040"/>
    <w:rsid w:val="002038C8"/>
    <w:rsid w:val="00210AA6"/>
    <w:rsid w:val="002B3CC9"/>
    <w:rsid w:val="002B3D1E"/>
    <w:rsid w:val="002F4C05"/>
    <w:rsid w:val="00315FF7"/>
    <w:rsid w:val="00327A25"/>
    <w:rsid w:val="003A7990"/>
    <w:rsid w:val="003C4966"/>
    <w:rsid w:val="003C49EC"/>
    <w:rsid w:val="003F48DF"/>
    <w:rsid w:val="0042684A"/>
    <w:rsid w:val="00454D50"/>
    <w:rsid w:val="004811E3"/>
    <w:rsid w:val="004A1D37"/>
    <w:rsid w:val="004A5577"/>
    <w:rsid w:val="004B7789"/>
    <w:rsid w:val="004C14E4"/>
    <w:rsid w:val="00501D89"/>
    <w:rsid w:val="00520E7A"/>
    <w:rsid w:val="00562578"/>
    <w:rsid w:val="005A6E38"/>
    <w:rsid w:val="005F295F"/>
    <w:rsid w:val="00631E43"/>
    <w:rsid w:val="006362AE"/>
    <w:rsid w:val="00646738"/>
    <w:rsid w:val="006468EA"/>
    <w:rsid w:val="00673105"/>
    <w:rsid w:val="0068120E"/>
    <w:rsid w:val="006A5244"/>
    <w:rsid w:val="0071081A"/>
    <w:rsid w:val="007B3995"/>
    <w:rsid w:val="007D4B25"/>
    <w:rsid w:val="00802289"/>
    <w:rsid w:val="00825FDD"/>
    <w:rsid w:val="00833C36"/>
    <w:rsid w:val="00866CC7"/>
    <w:rsid w:val="00882690"/>
    <w:rsid w:val="00893D82"/>
    <w:rsid w:val="009E0C3C"/>
    <w:rsid w:val="00A1191B"/>
    <w:rsid w:val="00A43047"/>
    <w:rsid w:val="00A57128"/>
    <w:rsid w:val="00A84930"/>
    <w:rsid w:val="00AA1D45"/>
    <w:rsid w:val="00AB0846"/>
    <w:rsid w:val="00B05AF8"/>
    <w:rsid w:val="00B10156"/>
    <w:rsid w:val="00B438A7"/>
    <w:rsid w:val="00B86157"/>
    <w:rsid w:val="00B92BCC"/>
    <w:rsid w:val="00BB5309"/>
    <w:rsid w:val="00BB7895"/>
    <w:rsid w:val="00C159F6"/>
    <w:rsid w:val="00C5111B"/>
    <w:rsid w:val="00C7693F"/>
    <w:rsid w:val="00C97B29"/>
    <w:rsid w:val="00CB46FC"/>
    <w:rsid w:val="00CC6EE8"/>
    <w:rsid w:val="00D022C3"/>
    <w:rsid w:val="00D50B23"/>
    <w:rsid w:val="00D63A70"/>
    <w:rsid w:val="00D66100"/>
    <w:rsid w:val="00D85ACD"/>
    <w:rsid w:val="00E11D1B"/>
    <w:rsid w:val="00E11D5F"/>
    <w:rsid w:val="00E337AE"/>
    <w:rsid w:val="00E60AC2"/>
    <w:rsid w:val="00EF3535"/>
    <w:rsid w:val="00F11497"/>
    <w:rsid w:val="00F17655"/>
    <w:rsid w:val="00F621CD"/>
    <w:rsid w:val="00F77F32"/>
    <w:rsid w:val="00F86C25"/>
    <w:rsid w:val="00F95F17"/>
    <w:rsid w:val="00FD7CFF"/>
    <w:rsid w:val="1CE32EE0"/>
    <w:rsid w:val="1FF22B09"/>
    <w:rsid w:val="2918798E"/>
    <w:rsid w:val="30CF0356"/>
    <w:rsid w:val="5EBCF01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0"/>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6">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1"/>
    <w:unhideWhenUsed/>
    <w:uiPriority w:val="99"/>
    <w:pPr>
      <w:spacing w:before="100" w:beforeAutospacing="1" w:after="100" w:afterAutospacing="1"/>
    </w:pPr>
    <w:rPr>
      <w:rFonts w:ascii="Times New Roman" w:hAnsi="Times New Roman" w:cs="Times New Roman"/>
    </w:rPr>
  </w:style>
  <w:style w:type="paragraph" w:styleId="4">
    <w:name w:val="header"/>
    <w:basedOn w:val="1"/>
    <w:link w:val="13"/>
    <w:unhideWhenUsed/>
    <w:uiPriority w:val="0"/>
    <w:pPr>
      <w:tabs>
        <w:tab w:val="center" w:pos="4252"/>
        <w:tab w:val="right" w:pos="8504"/>
      </w:tabs>
    </w:pPr>
  </w:style>
  <w:style w:type="paragraph" w:styleId="5">
    <w:name w:val="footer"/>
    <w:basedOn w:val="1"/>
    <w:link w:val="14"/>
    <w:unhideWhenUsed/>
    <w:qFormat/>
    <w:uiPriority w:val="0"/>
    <w:pPr>
      <w:tabs>
        <w:tab w:val="center" w:pos="4252"/>
        <w:tab w:val="right" w:pos="8504"/>
      </w:tabs>
    </w:pPr>
  </w:style>
  <w:style w:type="character" w:styleId="7">
    <w:name w:val="Hyperlink"/>
    <w:unhideWhenUsed/>
    <w:uiPriority w:val="99"/>
    <w:rPr>
      <w:color w:val="0000FF"/>
      <w:u w:val="single"/>
    </w:rPr>
  </w:style>
  <w:style w:type="paragraph" w:customStyle="1" w:styleId="9">
    <w:name w:val="Grade Colorida - Ênfase 11"/>
    <w:basedOn w:val="1"/>
    <w:next w:val="1"/>
    <w:link w:val="1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0">
    <w:name w:val="Grade Colorida - Ênfase 1 Char"/>
    <w:link w:val="9"/>
    <w:qFormat/>
    <w:uiPriority w:val="0"/>
    <w:rPr>
      <w:rFonts w:ascii="Ecofont_Spranq_eco_Sans" w:hAnsi="Ecofont_Spranq_eco_Sans" w:eastAsia="Calibri" w:cs="Tahoma"/>
      <w:i/>
      <w:iCs/>
      <w:color w:val="000000"/>
      <w:szCs w:val="24"/>
      <w:lang w:val="pt-BR" w:eastAsia="en-US" w:bidi="ar-SA"/>
    </w:rPr>
  </w:style>
  <w:style w:type="character" w:customStyle="1" w:styleId="11">
    <w:name w:val="Corpo de texto Char"/>
    <w:link w:val="3"/>
    <w:uiPriority w:val="99"/>
    <w:rPr>
      <w:sz w:val="24"/>
      <w:szCs w:val="24"/>
    </w:rPr>
  </w:style>
  <w:style w:type="paragraph" w:styleId="12">
    <w:name w:val="List Paragraph"/>
    <w:basedOn w:val="1"/>
    <w:qFormat/>
    <w:uiPriority w:val="34"/>
    <w:pPr>
      <w:ind w:left="720"/>
      <w:contextualSpacing/>
    </w:pPr>
  </w:style>
  <w:style w:type="character" w:customStyle="1" w:styleId="13">
    <w:name w:val="Cabeçalho Char"/>
    <w:basedOn w:val="6"/>
    <w:link w:val="4"/>
    <w:qFormat/>
    <w:uiPriority w:val="0"/>
    <w:rPr>
      <w:rFonts w:ascii="Ecofont_Spranq_eco_Sans" w:hAnsi="Ecofont_Spranq_eco_Sans" w:cs="Tahoma"/>
      <w:sz w:val="24"/>
      <w:szCs w:val="24"/>
    </w:rPr>
  </w:style>
  <w:style w:type="character" w:customStyle="1" w:styleId="14">
    <w:name w:val="Rodapé Char"/>
    <w:basedOn w:val="6"/>
    <w:link w:val="5"/>
    <w:uiPriority w:val="0"/>
    <w:rPr>
      <w:rFonts w:ascii="Ecofont_Spranq_eco_Sans" w:hAnsi="Ecofont_Spranq_eco_Sans" w:cs="Tahoma"/>
      <w:sz w:val="24"/>
      <w:szCs w:val="24"/>
    </w:rPr>
  </w:style>
  <w:style w:type="paragraph" w:customStyle="1" w:styleId="15">
    <w:name w:val="citação 2"/>
    <w:basedOn w:val="16"/>
    <w:link w:val="1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16">
    <w:name w:val="Quote"/>
    <w:basedOn w:val="1"/>
    <w:next w:val="1"/>
    <w:link w:val="18"/>
    <w:qFormat/>
    <w:uiPriority w:val="29"/>
    <w:rPr>
      <w:i/>
      <w:iCs/>
      <w:color w:val="000000" w:themeColor="text1"/>
      <w14:textFill>
        <w14:solidFill>
          <w14:schemeClr w14:val="tx1"/>
        </w14:solidFill>
      </w14:textFill>
    </w:rPr>
  </w:style>
  <w:style w:type="character" w:customStyle="1" w:styleId="17">
    <w:name w:val="citação 2 Char"/>
    <w:basedOn w:val="18"/>
    <w:link w:val="15"/>
    <w:uiPriority w:val="0"/>
    <w:rPr>
      <w:rFonts w:ascii="Ecofont_Spranq_eco_Sans" w:hAnsi="Ecofont_Spranq_eco_Sans" w:eastAsia="Calibri" w:cs="Tahoma"/>
      <w:color w:val="000000"/>
      <w:sz w:val="24"/>
      <w:szCs w:val="24"/>
      <w:shd w:val="clear" w:color="auto" w:fill="FFFFCC"/>
      <w:lang w:eastAsia="en-US"/>
    </w:rPr>
  </w:style>
  <w:style w:type="character" w:customStyle="1" w:styleId="18">
    <w:name w:val="Citação Char"/>
    <w:basedOn w:val="6"/>
    <w:link w:val="16"/>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19">
    <w:name w:val="Nivel1"/>
    <w:basedOn w:val="2"/>
    <w:next w:val="1"/>
    <w:link w:val="21"/>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0">
    <w:name w:val="Título 1 Char"/>
    <w:basedOn w:val="6"/>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1">
    <w:name w:val="Nivel1 Char"/>
    <w:basedOn w:val="20"/>
    <w:link w:val="19"/>
    <w:uiPriority w:val="0"/>
    <w:rPr>
      <w:rFonts w:ascii="Arial" w:hAnsi="Arial" w:cs="Arial" w:eastAsiaTheme="majorEastAsia"/>
      <w:color w:val="376092" w:themeColor="accent1" w:themeShade="BF"/>
      <w:sz w:val="28"/>
      <w:szCs w:val="28"/>
    </w:rPr>
  </w:style>
  <w:style w:type="paragraph" w:customStyle="1" w:styleId="22">
    <w:name w:val="Nivel 01"/>
    <w:basedOn w:val="2"/>
    <w:next w:val="1"/>
    <w:qFormat/>
    <w:uiPriority w:val="0"/>
    <w:pPr>
      <w:numPr>
        <w:ilvl w:val="0"/>
        <w:numId w:val="1"/>
      </w:numPr>
      <w:tabs>
        <w:tab w:val="left" w:pos="360"/>
        <w:tab w:val="left" w:pos="567"/>
      </w:tabs>
      <w:spacing w:before="240"/>
      <w:ind w:left="0" w:firstLine="0"/>
      <w:jc w:val="both"/>
    </w:pPr>
    <w:rPr>
      <w:rFonts w:ascii="Ecofont_Spranq_eco_Sans" w:hAnsi="Ecofont_Spranq_eco_Sans" w:cs="Times New Roman"/>
      <w:color w:val="000000"/>
      <w:sz w:val="20"/>
      <w:szCs w:val="20"/>
    </w:rPr>
  </w:style>
  <w:style w:type="paragraph" w:customStyle="1" w:styleId="23">
    <w:name w:val="Standard"/>
    <w:qFormat/>
    <w:uiPriority w:val="0"/>
    <w:pPr>
      <w:widowControl w:val="0"/>
      <w:suppressAutoHyphens/>
      <w:spacing w:after="0" w:line="276" w:lineRule="auto"/>
      <w:textAlignment w:val="baseline"/>
    </w:pPr>
    <w:rPr>
      <w:rFonts w:ascii="Times New Roman" w:hAnsi="Times New Roman" w:eastAsia="SimSun" w:cs="Mangal"/>
      <w:color w:val="00000A"/>
      <w:sz w:val="24"/>
      <w:lang w:val="pt-BR" w:eastAsia="en-US" w:bidi="ar-SA"/>
    </w:rPr>
  </w:style>
  <w:style w:type="paragraph" w:customStyle="1" w:styleId="24">
    <w:name w:val="Cabeçalho1"/>
    <w:basedOn w:val="1"/>
    <w:qFormat/>
    <w:uiPriority w:val="0"/>
    <w:pPr>
      <w:tabs>
        <w:tab w:val="center" w:pos="4252"/>
        <w:tab w:val="right" w:pos="8504"/>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897A23-5452-412E-B0B0-FF855C75CE64}">
  <ds:schemaRefs/>
</ds:datastoreItem>
</file>

<file path=customXml/itemProps3.xml><?xml version="1.0" encoding="utf-8"?>
<ds:datastoreItem xmlns:ds="http://schemas.openxmlformats.org/officeDocument/2006/customXml" ds:itemID="{10BC7201-7ED3-4096-9DE3-0512CE1D9A22}">
  <ds:schemaRefs/>
</ds:datastoreItem>
</file>

<file path=customXml/itemProps4.xml><?xml version="1.0" encoding="utf-8"?>
<ds:datastoreItem xmlns:ds="http://schemas.openxmlformats.org/officeDocument/2006/customXml" ds:itemID="{944E0A7D-1135-4C98-9520-65D4F26D0D95}">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6</Pages>
  <Words>2438</Words>
  <Characters>13168</Characters>
  <Lines>109</Lines>
  <Paragraphs>31</Paragraphs>
  <TotalTime>1</TotalTime>
  <ScaleCrop>false</ScaleCrop>
  <LinksUpToDate>false</LinksUpToDate>
  <CharactersWithSpaces>15575</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2020-01-14T19:28:00Z</dcterms:created>
  <dc:creator>CONJUR-MP</dc:creator>
  <dc:description>Texto idêntico ao modelo de serviços, salvo pela especificação do objeto contratado e da respectiva nota explicativa.</dc:description>
  <cp:lastModifiedBy>IFPB</cp:lastModifiedBy>
  <dcterms:modified xsi:type="dcterms:W3CDTF">2020-07-30T10:47:46Z</dcterms:modified>
  <dc:title>MODELO</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y fmtid="{D5CDD505-2E9C-101B-9397-08002B2CF9AE}" pid="4" name="KSOProductBuildVer">
    <vt:lpwstr>1046-11.2.0.9453</vt:lpwstr>
  </property>
</Properties>
</file>