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Arial"/>
          <w:sz w:val="21"/>
          <w:szCs w:val="21"/>
        </w:rPr>
      </w:pPr>
    </w:p>
    <w:p>
      <w:pPr>
        <w:pStyle w:val="34"/>
        <w:shd w:val="clear" w:color="auto" w:fill="E6E6E6"/>
        <w:overflowPunct w:val="0"/>
        <w:jc w:val="center"/>
        <w:rPr>
          <w:rFonts w:ascii="Arial" w:hAnsi="Arial" w:cs="Arial"/>
          <w:b/>
          <w:bCs/>
          <w:color w:val="000000"/>
          <w:sz w:val="21"/>
          <w:szCs w:val="21"/>
        </w:rPr>
      </w:pPr>
      <w:r>
        <w:rPr>
          <w:rFonts w:ascii="Arial" w:hAnsi="Arial" w:cs="Arial"/>
          <w:b/>
          <w:bCs/>
          <w:color w:val="000000" w:themeColor="text1"/>
          <w:sz w:val="21"/>
          <w:szCs w:val="21"/>
          <w14:textFill>
            <w14:solidFill>
              <w14:schemeClr w14:val="tx1"/>
            </w14:solidFill>
          </w14:textFill>
        </w:rPr>
        <w:t>ANEXO II – MINUTA DA ATA DE REGISTRO DE PREÇOS</w:t>
      </w:r>
    </w:p>
    <w:p>
      <w:pPr>
        <w:jc w:val="center"/>
        <w:rPr>
          <w:rFonts w:cs="Arial"/>
          <w:b/>
          <w:bCs/>
          <w:color w:val="000000" w:themeColor="text1"/>
          <w:sz w:val="21"/>
          <w:szCs w:val="21"/>
          <w14:textFill>
            <w14:solidFill>
              <w14:schemeClr w14:val="tx1"/>
            </w14:solidFill>
          </w14:textFill>
        </w:rPr>
      </w:pPr>
    </w:p>
    <w:p>
      <w:pPr>
        <w:jc w:val="center"/>
        <w:rPr>
          <w:rFonts w:cs="Arial"/>
          <w:b/>
          <w:bCs/>
          <w:color w:val="000000" w:themeColor="text1"/>
          <w:sz w:val="21"/>
          <w:szCs w:val="21"/>
          <w14:textFill>
            <w14:solidFill>
              <w14:schemeClr w14:val="tx1"/>
            </w14:solidFill>
          </w14:textFill>
        </w:rPr>
      </w:pPr>
    </w:p>
    <w:p>
      <w:pPr>
        <w:jc w:val="center"/>
        <w:rPr>
          <w:rFonts w:cs="Arial"/>
          <w:b/>
          <w:bCs/>
          <w:color w:val="000000" w:themeColor="text1"/>
          <w:sz w:val="21"/>
          <w:szCs w:val="21"/>
          <w14:textFill>
            <w14:solidFill>
              <w14:schemeClr w14:val="tx1"/>
            </w14:solidFill>
          </w14:textFill>
        </w:rPr>
      </w:pPr>
      <w:r>
        <w:rPr>
          <w:rFonts w:cs="Arial"/>
          <w:b/>
          <w:bCs/>
          <w:color w:val="000000" w:themeColor="text1"/>
          <w:sz w:val="21"/>
          <w:szCs w:val="21"/>
          <w14:textFill>
            <w14:solidFill>
              <w14:schemeClr w14:val="tx1"/>
            </w14:solidFill>
          </w14:textFill>
        </w:rPr>
        <w:t xml:space="preserve">PREGÃO ELETRÔNICO (SRP) n.° </w:t>
      </w:r>
      <w:r>
        <w:rPr>
          <w:rFonts w:cs="Arial"/>
          <w:b/>
          <w:bCs/>
          <w:color w:val="FF0000"/>
          <w:sz w:val="21"/>
          <w:szCs w:val="21"/>
        </w:rPr>
        <w:t>04/2020</w:t>
      </w:r>
    </w:p>
    <w:p>
      <w:pPr>
        <w:jc w:val="center"/>
        <w:rPr>
          <w:rFonts w:cs="Arial"/>
          <w:color w:val="000000" w:themeColor="text1"/>
          <w:sz w:val="21"/>
          <w:szCs w:val="21"/>
          <w14:textFill>
            <w14:solidFill>
              <w14:schemeClr w14:val="tx1"/>
            </w14:solidFill>
          </w14:textFill>
        </w:rPr>
      </w:pPr>
      <w:r>
        <w:rPr>
          <w:rFonts w:cs="Arial"/>
          <w:color w:val="000000" w:themeColor="text1"/>
          <w:sz w:val="21"/>
          <w:szCs w:val="21"/>
          <w14:textFill>
            <w14:solidFill>
              <w14:schemeClr w14:val="tx1"/>
            </w14:solidFill>
          </w14:textFill>
        </w:rPr>
        <w:t>(Processo Administrativo n.° 23381.001667.2020-40)</w:t>
      </w:r>
    </w:p>
    <w:p>
      <w:pPr>
        <w:widowControl w:val="0"/>
        <w:autoSpaceDE w:val="0"/>
        <w:autoSpaceDN w:val="0"/>
        <w:adjustRightInd w:val="0"/>
        <w:ind w:right="-30"/>
        <w:jc w:val="center"/>
        <w:rPr>
          <w:rFonts w:cs="Arial"/>
          <w:sz w:val="21"/>
          <w:szCs w:val="21"/>
        </w:rPr>
      </w:pPr>
    </w:p>
    <w:p>
      <w:pPr>
        <w:widowControl w:val="0"/>
        <w:autoSpaceDE w:val="0"/>
        <w:autoSpaceDN w:val="0"/>
        <w:adjustRightInd w:val="0"/>
        <w:ind w:right="-30"/>
        <w:jc w:val="center"/>
        <w:rPr>
          <w:rFonts w:cs="Arial"/>
          <w:sz w:val="21"/>
          <w:szCs w:val="21"/>
        </w:rPr>
      </w:pPr>
      <w:r>
        <w:rPr>
          <w:rFonts w:cs="Arial"/>
          <w:sz w:val="21"/>
          <w:szCs w:val="21"/>
        </w:rPr>
        <w:t xml:space="preserve">ATA DE REGISTRO DE PREÇOS </w:t>
      </w:r>
    </w:p>
    <w:p>
      <w:pPr>
        <w:widowControl w:val="0"/>
        <w:autoSpaceDE w:val="0"/>
        <w:autoSpaceDN w:val="0"/>
        <w:adjustRightInd w:val="0"/>
        <w:ind w:right="-30"/>
        <w:jc w:val="center"/>
        <w:rPr>
          <w:rFonts w:cs="Arial"/>
          <w:bCs/>
          <w:sz w:val="21"/>
          <w:szCs w:val="21"/>
        </w:rPr>
      </w:pPr>
      <w:r>
        <w:rPr>
          <w:rFonts w:cs="Arial"/>
          <w:bCs/>
          <w:sz w:val="21"/>
          <w:szCs w:val="21"/>
        </w:rPr>
        <w:t>N.º .........</w:t>
      </w:r>
    </w:p>
    <w:p>
      <w:pPr>
        <w:widowControl w:val="0"/>
        <w:autoSpaceDE w:val="0"/>
        <w:autoSpaceDN w:val="0"/>
        <w:adjustRightInd w:val="0"/>
        <w:ind w:right="-30"/>
        <w:jc w:val="both"/>
        <w:rPr>
          <w:rFonts w:cs="Arial"/>
          <w:sz w:val="21"/>
          <w:szCs w:val="21"/>
        </w:rPr>
      </w:pPr>
    </w:p>
    <w:p>
      <w:pPr>
        <w:widowControl w:val="0"/>
        <w:tabs>
          <w:tab w:val="center" w:pos="4779"/>
          <w:tab w:val="right" w:pos="9198"/>
        </w:tabs>
        <w:autoSpaceDE w:val="0"/>
        <w:autoSpaceDN w:val="0"/>
        <w:adjustRightInd w:val="0"/>
        <w:ind w:right="-28"/>
        <w:jc w:val="both"/>
        <w:rPr>
          <w:rFonts w:cs="Arial"/>
          <w:sz w:val="21"/>
          <w:szCs w:val="21"/>
        </w:rPr>
      </w:pPr>
    </w:p>
    <w:p>
      <w:pPr>
        <w:widowControl w:val="0"/>
        <w:tabs>
          <w:tab w:val="center" w:pos="4779"/>
          <w:tab w:val="right" w:pos="9198"/>
        </w:tabs>
        <w:autoSpaceDE w:val="0"/>
        <w:autoSpaceDN w:val="0"/>
        <w:adjustRightInd w:val="0"/>
        <w:ind w:right="-28"/>
        <w:jc w:val="both"/>
        <w:rPr>
          <w:rFonts w:cs="Arial"/>
          <w:sz w:val="21"/>
          <w:szCs w:val="21"/>
        </w:rPr>
      </w:pPr>
      <w:r>
        <w:rPr>
          <w:rFonts w:cs="Arial"/>
          <w:sz w:val="21"/>
          <w:szCs w:val="21"/>
        </w:rPr>
        <w:t xml:space="preserve">O INSTITUTO FEDERAL DE EDUCAÇÃO, CIÊNCIA E TECNOLOGIA DA PARAÍBA – REITORIA, com sede na Avenida Almirante Barroso, 1077, Centro, na cidade de João Pessoa – Paraíba, inscrito no CNPJ/MF sob o n.° 10.783.898/0001-75, neste ato representado pelo Reitor Cícero Nicácio do Nascimento Lopes, nomeado pelo Decreto de 22 de outubro de 2018, publicada no DOU de 23 de outubro de 2018, portador da matrícula funcional nº 274008, considerando o julgamento da licitação na modalidade de pregão, na forma </w:t>
      </w:r>
      <w:r>
        <w:rPr>
          <w:rFonts w:cs="Arial"/>
          <w:iCs/>
          <w:sz w:val="21"/>
          <w:szCs w:val="21"/>
        </w:rPr>
        <w:t>eletrônica</w:t>
      </w:r>
      <w:r>
        <w:rPr>
          <w:rFonts w:cs="Arial"/>
          <w:sz w:val="21"/>
          <w:szCs w:val="21"/>
        </w:rPr>
        <w:t xml:space="preserve">, para REGISTRO DE PREÇOS nº </w:t>
      </w:r>
      <w:r>
        <w:rPr>
          <w:rFonts w:cs="Arial"/>
          <w:b/>
          <w:color w:val="FF0000"/>
          <w:sz w:val="21"/>
          <w:szCs w:val="21"/>
        </w:rPr>
        <w:t>04/2020</w:t>
      </w:r>
      <w:r>
        <w:rPr>
          <w:rFonts w:cs="Arial"/>
          <w:sz w:val="21"/>
          <w:szCs w:val="21"/>
        </w:rPr>
        <w:t xml:space="preserve">, publicada no Diário Oficial da União de </w:t>
      </w:r>
      <w:r>
        <w:rPr>
          <w:rFonts w:cs="Arial"/>
          <w:b/>
          <w:color w:val="FF0000"/>
          <w:sz w:val="21"/>
          <w:szCs w:val="21"/>
        </w:rPr>
        <w:t>.../.../2020</w:t>
      </w:r>
      <w:r>
        <w:rPr>
          <w:rFonts w:cs="Arial"/>
          <w:sz w:val="21"/>
          <w:szCs w:val="21"/>
        </w:rPr>
        <w:t xml:space="preserve">, processo administrativo n.º </w:t>
      </w:r>
      <w:r>
        <w:rPr>
          <w:rFonts w:cs="Arial"/>
          <w:b/>
          <w:color w:val="FF0000"/>
          <w:sz w:val="21"/>
          <w:szCs w:val="21"/>
        </w:rPr>
        <w:t>23381.001667.2020-40</w:t>
      </w:r>
      <w:r>
        <w:rPr>
          <w:rFonts w:cs="Arial"/>
          <w:color w:val="000000" w:themeColor="text1"/>
          <w:sz w:val="21"/>
          <w:szCs w:val="21"/>
          <w14:textFill>
            <w14:solidFill>
              <w14:schemeClr w14:val="tx1"/>
            </w14:solidFill>
          </w14:textFill>
        </w:rPr>
        <w:t xml:space="preserve">, </w:t>
      </w:r>
      <w:r>
        <w:rPr>
          <w:rFonts w:cs="Arial"/>
          <w:sz w:val="21"/>
          <w:szCs w:val="21"/>
        </w:rPr>
        <w:t xml:space="preserve">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cs="Arial"/>
          <w:iCs/>
          <w:sz w:val="21"/>
          <w:szCs w:val="21"/>
        </w:rPr>
        <w:t>Decreto nº 7.892, de 23 de janeiro de 2013,</w:t>
      </w:r>
      <w:r>
        <w:rPr>
          <w:rFonts w:cs="Arial"/>
          <w:sz w:val="21"/>
          <w:szCs w:val="21"/>
        </w:rPr>
        <w:t xml:space="preserve"> e em conformidade com as disposições a seguir:</w:t>
      </w:r>
    </w:p>
    <w:p>
      <w:pPr>
        <w:widowControl w:val="0"/>
        <w:tabs>
          <w:tab w:val="center" w:pos="4779"/>
          <w:tab w:val="right" w:pos="9198"/>
        </w:tabs>
        <w:autoSpaceDE w:val="0"/>
        <w:autoSpaceDN w:val="0"/>
        <w:adjustRightInd w:val="0"/>
        <w:ind w:right="-28"/>
        <w:jc w:val="both"/>
        <w:rPr>
          <w:rFonts w:cs="Arial"/>
          <w:sz w:val="21"/>
          <w:szCs w:val="21"/>
        </w:rPr>
      </w:pPr>
    </w:p>
    <w:p>
      <w:pPr>
        <w:pStyle w:val="26"/>
        <w:rPr>
          <w:sz w:val="21"/>
          <w:szCs w:val="21"/>
        </w:rPr>
      </w:pPr>
      <w:r>
        <w:rPr>
          <w:sz w:val="21"/>
          <w:szCs w:val="21"/>
        </w:rPr>
        <w:t>DO OBJETO</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presente Ata tem por objeto o registro de preços para a eventual prestação de serviço de ........ , especificado(s) no(s) item(ns).......... do .......... Termo de Referência, anexo ...... do edital de Pregão nº ........../20..., que é parte integrante desta Ata, assim como a proposta vencedora, independentemente de transcrição.</w:t>
      </w:r>
    </w:p>
    <w:p>
      <w:pPr>
        <w:pStyle w:val="26"/>
        <w:rPr>
          <w:sz w:val="21"/>
          <w:szCs w:val="21"/>
        </w:rPr>
      </w:pPr>
      <w:r>
        <w:rPr>
          <w:sz w:val="21"/>
          <w:szCs w:val="21"/>
        </w:rPr>
        <w:t>DOS PREÇOS, ESPECIFICAÇÕES E QUANTITATIVOS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 xml:space="preserve">O preço registrado, as especificações do objeto e as demais condições ofertadas na(s) proposta(s) são as que seguem: </w:t>
      </w:r>
    </w:p>
    <w:tbl>
      <w:tblPr>
        <w:tblStyle w:val="15"/>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63"/>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cs="Arial"/>
                <w:sz w:val="22"/>
                <w:szCs w:val="22"/>
              </w:rPr>
            </w:pPr>
            <w:r>
              <w:rPr>
                <w:rFonts w:cs="Arial"/>
                <w:sz w:val="22"/>
                <w:szCs w:val="22"/>
              </w:rPr>
              <w:t xml:space="preserve">Empresa: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CNPJ/MF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Telefone: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Endereço: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Representante Legal: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RG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CPF/MF n.°: </w:t>
            </w:r>
          </w:p>
        </w:tc>
      </w:tr>
    </w:tbl>
    <w:p>
      <w:pPr>
        <w:widowControl w:val="0"/>
        <w:tabs>
          <w:tab w:val="left" w:pos="2850"/>
        </w:tabs>
        <w:autoSpaceDE w:val="0"/>
        <w:autoSpaceDN w:val="0"/>
        <w:adjustRightInd w:val="0"/>
        <w:ind w:left="792"/>
        <w:jc w:val="both"/>
        <w:rPr>
          <w:rFonts w:cs="Arial"/>
          <w:sz w:val="21"/>
          <w:szCs w:val="21"/>
        </w:rPr>
      </w:pPr>
      <w:r>
        <w:rPr>
          <w:rFonts w:cs="Arial"/>
          <w:sz w:val="21"/>
          <w:szCs w:val="21"/>
        </w:rPr>
        <w:tab/>
      </w:r>
    </w:p>
    <w:p>
      <w:pPr>
        <w:widowControl w:val="0"/>
        <w:tabs>
          <w:tab w:val="left" w:pos="2850"/>
        </w:tabs>
        <w:autoSpaceDE w:val="0"/>
        <w:autoSpaceDN w:val="0"/>
        <w:adjustRightInd w:val="0"/>
        <w:ind w:left="792"/>
        <w:jc w:val="both"/>
        <w:rPr>
          <w:rFonts w:cs="Arial"/>
          <w:sz w:val="21"/>
          <w:szCs w:val="21"/>
        </w:rPr>
      </w:pPr>
    </w:p>
    <w:p>
      <w:pPr>
        <w:widowControl w:val="0"/>
        <w:tabs>
          <w:tab w:val="left" w:pos="2850"/>
        </w:tabs>
        <w:autoSpaceDE w:val="0"/>
        <w:autoSpaceDN w:val="0"/>
        <w:adjustRightInd w:val="0"/>
        <w:ind w:left="792"/>
        <w:jc w:val="both"/>
        <w:rPr>
          <w:rFonts w:cs="Arial"/>
          <w:sz w:val="21"/>
          <w:szCs w:val="21"/>
        </w:rPr>
      </w:pPr>
    </w:p>
    <w:p>
      <w:pPr>
        <w:widowControl w:val="0"/>
        <w:tabs>
          <w:tab w:val="left" w:pos="2850"/>
        </w:tabs>
        <w:autoSpaceDE w:val="0"/>
        <w:autoSpaceDN w:val="0"/>
        <w:adjustRightInd w:val="0"/>
        <w:ind w:left="792"/>
        <w:jc w:val="both"/>
        <w:rPr>
          <w:rFonts w:cs="Arial"/>
          <w:sz w:val="21"/>
          <w:szCs w:val="21"/>
        </w:rPr>
      </w:pPr>
      <w:bookmarkStart w:id="0" w:name="_GoBack"/>
      <w:bookmarkEnd w:id="0"/>
    </w:p>
    <w:tbl>
      <w:tblPr>
        <w:tblStyle w:val="15"/>
        <w:tblW w:w="10736" w:type="dxa"/>
        <w:jc w:val="center"/>
        <w:tblLayout w:type="autofit"/>
        <w:tblCellMar>
          <w:top w:w="0" w:type="dxa"/>
          <w:left w:w="70" w:type="dxa"/>
          <w:bottom w:w="0" w:type="dxa"/>
          <w:right w:w="70" w:type="dxa"/>
        </w:tblCellMar>
      </w:tblPr>
      <w:tblGrid>
        <w:gridCol w:w="599"/>
        <w:gridCol w:w="881"/>
        <w:gridCol w:w="1784"/>
        <w:gridCol w:w="961"/>
        <w:gridCol w:w="1340"/>
        <w:gridCol w:w="1340"/>
        <w:gridCol w:w="1340"/>
        <w:gridCol w:w="1161"/>
        <w:gridCol w:w="1330"/>
      </w:tblGrid>
      <w:tr>
        <w:tblPrEx>
          <w:tblCellMar>
            <w:top w:w="0" w:type="dxa"/>
            <w:left w:w="70" w:type="dxa"/>
            <w:bottom w:w="0" w:type="dxa"/>
            <w:right w:w="70" w:type="dxa"/>
          </w:tblCellMar>
        </w:tblPrEx>
        <w:trPr>
          <w:trHeight w:val="255" w:hRule="atLeast"/>
          <w:jc w:val="center"/>
        </w:trPr>
        <w:tc>
          <w:tcPr>
            <w:tcW w:w="10736" w:type="dxa"/>
            <w:gridSpan w:val="9"/>
            <w:tcBorders>
              <w:top w:val="single" w:color="auto" w:sz="4" w:space="0"/>
              <w:left w:val="single" w:color="auto" w:sz="4" w:space="0"/>
              <w:bottom w:val="single" w:color="auto" w:sz="4" w:space="0"/>
              <w:right w:val="single" w:color="auto" w:sz="4" w:space="0"/>
            </w:tcBorders>
            <w:shd w:val="clear" w:color="auto" w:fill="BFBFBF"/>
            <w:noWrap/>
            <w:vAlign w:val="center"/>
          </w:tcPr>
          <w:p>
            <w:pPr>
              <w:jc w:val="center"/>
              <w:rPr>
                <w:rFonts w:cs="Arial"/>
                <w:b/>
                <w:bCs/>
                <w:color w:val="000000"/>
                <w:sz w:val="18"/>
                <w:szCs w:val="18"/>
              </w:rPr>
            </w:pPr>
            <w:r>
              <w:rPr>
                <w:rFonts w:cs="Arial"/>
                <w:b/>
                <w:bCs/>
                <w:color w:val="000000"/>
                <w:sz w:val="18"/>
                <w:szCs w:val="18"/>
              </w:rPr>
              <w:t>GRUPO ..... - INSTITUTO FEDERAL DA PARAÍBA - ............................ (UASG: ........................)</w:t>
            </w:r>
          </w:p>
        </w:tc>
      </w:tr>
      <w:tr>
        <w:tblPrEx>
          <w:tblCellMar>
            <w:top w:w="0" w:type="dxa"/>
            <w:left w:w="70" w:type="dxa"/>
            <w:bottom w:w="0" w:type="dxa"/>
            <w:right w:w="70" w:type="dxa"/>
          </w:tblCellMar>
        </w:tblPrEx>
        <w:trPr>
          <w:trHeight w:val="765" w:hRule="atLeast"/>
          <w:jc w:val="center"/>
        </w:trPr>
        <w:tc>
          <w:tcPr>
            <w:tcW w:w="599"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ITEM</w:t>
            </w:r>
          </w:p>
        </w:tc>
        <w:tc>
          <w:tcPr>
            <w:tcW w:w="88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CATSER</w:t>
            </w:r>
          </w:p>
        </w:tc>
        <w:tc>
          <w:tcPr>
            <w:tcW w:w="1784"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DESCRIÇÃO DO SERVIÇO</w:t>
            </w:r>
          </w:p>
        </w:tc>
        <w:tc>
          <w:tcPr>
            <w:tcW w:w="96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UNIDADE</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(MÊS)</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(12 MESES)</w:t>
            </w:r>
          </w:p>
        </w:tc>
        <w:tc>
          <w:tcPr>
            <w:tcW w:w="134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QUANTIDADE ESTIMADA (48 MESES)</w:t>
            </w:r>
          </w:p>
        </w:tc>
        <w:tc>
          <w:tcPr>
            <w:tcW w:w="1161"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VALOR UNITÁRIO MÁXIMO ACEITÁVEL</w:t>
            </w:r>
          </w:p>
          <w:p>
            <w:pPr>
              <w:jc w:val="center"/>
              <w:rPr>
                <w:rFonts w:cs="Arial"/>
                <w:b/>
                <w:bCs/>
                <w:color w:val="000000"/>
                <w:sz w:val="18"/>
                <w:szCs w:val="18"/>
              </w:rPr>
            </w:pPr>
            <w:r>
              <w:rPr>
                <w:rFonts w:cs="Arial"/>
                <w:b/>
                <w:bCs/>
                <w:color w:val="000000"/>
                <w:sz w:val="18"/>
                <w:szCs w:val="18"/>
              </w:rPr>
              <w:t xml:space="preserve">(R$) </w:t>
            </w:r>
          </w:p>
        </w:tc>
        <w:tc>
          <w:tcPr>
            <w:tcW w:w="1330" w:type="dxa"/>
            <w:vMerge w:val="restart"/>
            <w:tcBorders>
              <w:top w:val="nil"/>
              <w:left w:val="single" w:color="auto" w:sz="4" w:space="0"/>
              <w:bottom w:val="single" w:color="auto" w:sz="4" w:space="0"/>
              <w:right w:val="single" w:color="auto" w:sz="4" w:space="0"/>
            </w:tcBorders>
            <w:shd w:val="clear" w:color="auto" w:fill="BFBFBF"/>
            <w:vAlign w:val="center"/>
          </w:tcPr>
          <w:p>
            <w:pPr>
              <w:jc w:val="center"/>
              <w:rPr>
                <w:rFonts w:cs="Arial"/>
                <w:b/>
                <w:bCs/>
                <w:color w:val="000000"/>
                <w:sz w:val="18"/>
                <w:szCs w:val="18"/>
              </w:rPr>
            </w:pPr>
            <w:r>
              <w:rPr>
                <w:rFonts w:cs="Arial"/>
                <w:b/>
                <w:bCs/>
                <w:color w:val="000000"/>
                <w:sz w:val="18"/>
                <w:szCs w:val="18"/>
              </w:rPr>
              <w:t>VALOR</w:t>
            </w:r>
          </w:p>
          <w:p>
            <w:pPr>
              <w:jc w:val="center"/>
              <w:rPr>
                <w:rFonts w:cs="Arial"/>
                <w:b/>
                <w:bCs/>
                <w:color w:val="000000"/>
                <w:sz w:val="18"/>
                <w:szCs w:val="18"/>
              </w:rPr>
            </w:pPr>
            <w:r>
              <w:rPr>
                <w:rFonts w:cs="Arial"/>
                <w:b/>
                <w:bCs/>
                <w:color w:val="000000"/>
                <w:sz w:val="18"/>
                <w:szCs w:val="18"/>
              </w:rPr>
              <w:t xml:space="preserve">TOTAL MÁXIMO ACEITÁVEL </w:t>
            </w:r>
          </w:p>
          <w:p>
            <w:pPr>
              <w:jc w:val="center"/>
              <w:rPr>
                <w:rFonts w:cs="Arial"/>
                <w:b/>
                <w:bCs/>
                <w:color w:val="000000"/>
                <w:sz w:val="18"/>
                <w:szCs w:val="18"/>
              </w:rPr>
            </w:pPr>
            <w:r>
              <w:rPr>
                <w:rFonts w:cs="Arial"/>
                <w:b/>
                <w:bCs/>
                <w:color w:val="000000"/>
                <w:sz w:val="18"/>
                <w:szCs w:val="18"/>
              </w:rPr>
              <w:t>(R$)</w:t>
            </w:r>
          </w:p>
        </w:tc>
      </w:tr>
      <w:tr>
        <w:tblPrEx>
          <w:tblCellMar>
            <w:top w:w="0" w:type="dxa"/>
            <w:left w:w="70" w:type="dxa"/>
            <w:bottom w:w="0" w:type="dxa"/>
            <w:right w:w="70" w:type="dxa"/>
          </w:tblCellMar>
        </w:tblPrEx>
        <w:trPr>
          <w:trHeight w:val="255"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pPr>
              <w:rPr>
                <w:rFonts w:cs="Arial"/>
                <w:b/>
                <w:bCs/>
                <w:color w:val="000000"/>
                <w:sz w:val="18"/>
                <w:szCs w:val="18"/>
              </w:rPr>
            </w:pPr>
          </w:p>
        </w:tc>
      </w:tr>
      <w:tr>
        <w:tblPrEx>
          <w:tblCellMar>
            <w:top w:w="0" w:type="dxa"/>
            <w:left w:w="70" w:type="dxa"/>
            <w:bottom w:w="0" w:type="dxa"/>
            <w:right w:w="70" w:type="dxa"/>
          </w:tblCellMar>
        </w:tblPrEx>
        <w:trPr>
          <w:trHeight w:val="1020"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1</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26573</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Monocromático - Dentro da Franquia* - sem papel - Para equipamentos Tipo I e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331"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26654</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Monocromático - Excedente à Franquia** - sem papel - Para equipamentos Tipo I e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3</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26611</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Policromático - Dentro da Franquia* - sem papel - Para equipamento Tipo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765" w:hRule="atLeast"/>
          <w:jc w:val="center"/>
        </w:trPr>
        <w:tc>
          <w:tcPr>
            <w:tcW w:w="599" w:type="dxa"/>
            <w:tcBorders>
              <w:top w:val="nil"/>
              <w:left w:val="single" w:color="auto" w:sz="4" w:space="0"/>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4</w:t>
            </w:r>
          </w:p>
        </w:tc>
        <w:tc>
          <w:tcPr>
            <w:tcW w:w="88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26697</w:t>
            </w:r>
          </w:p>
        </w:tc>
        <w:tc>
          <w:tcPr>
            <w:tcW w:w="1784" w:type="dxa"/>
            <w:tcBorders>
              <w:top w:val="nil"/>
              <w:left w:val="nil"/>
              <w:bottom w:val="single" w:color="auto" w:sz="4" w:space="0"/>
              <w:right w:val="single" w:color="auto" w:sz="4" w:space="0"/>
            </w:tcBorders>
            <w:shd w:val="clear" w:color="auto" w:fill="FFFFFF"/>
            <w:vAlign w:val="center"/>
          </w:tcPr>
          <w:p>
            <w:pPr>
              <w:jc w:val="both"/>
              <w:rPr>
                <w:rFonts w:cs="Arial"/>
                <w:color w:val="000000"/>
                <w:sz w:val="18"/>
                <w:szCs w:val="18"/>
              </w:rPr>
            </w:pPr>
            <w:r>
              <w:rPr>
                <w:rFonts w:cs="Arial"/>
                <w:color w:val="000000"/>
                <w:sz w:val="18"/>
                <w:szCs w:val="18"/>
              </w:rPr>
              <w:t>Outsourcing de Impressão - Páginas A4 - Policromático - Excedente à Franquia** - sem papel - Para equipamento Tipo II</w:t>
            </w:r>
          </w:p>
        </w:tc>
        <w:tc>
          <w:tcPr>
            <w:tcW w:w="9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Páginas</w:t>
            </w: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34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p>
        </w:tc>
        <w:tc>
          <w:tcPr>
            <w:tcW w:w="1161"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c>
          <w:tcPr>
            <w:tcW w:w="1330" w:type="dxa"/>
            <w:tcBorders>
              <w:top w:val="nil"/>
              <w:left w:val="nil"/>
              <w:bottom w:val="single" w:color="auto" w:sz="4" w:space="0"/>
              <w:right w:val="single" w:color="auto" w:sz="4" w:space="0"/>
            </w:tcBorders>
            <w:shd w:val="clear" w:color="auto" w:fill="FFFFFF"/>
            <w:vAlign w:val="center"/>
          </w:tcPr>
          <w:p>
            <w:pPr>
              <w:jc w:val="center"/>
              <w:rPr>
                <w:rFonts w:cs="Arial"/>
                <w:color w:val="000000"/>
                <w:sz w:val="18"/>
                <w:szCs w:val="18"/>
              </w:rPr>
            </w:pPr>
            <w:r>
              <w:rPr>
                <w:rFonts w:cs="Arial"/>
                <w:color w:val="000000"/>
                <w:sz w:val="18"/>
                <w:szCs w:val="18"/>
              </w:rPr>
              <w:t>R$</w:t>
            </w:r>
          </w:p>
        </w:tc>
      </w:tr>
      <w:tr>
        <w:tblPrEx>
          <w:tblCellMar>
            <w:top w:w="0" w:type="dxa"/>
            <w:left w:w="70" w:type="dxa"/>
            <w:bottom w:w="0" w:type="dxa"/>
            <w:right w:w="70" w:type="dxa"/>
          </w:tblCellMar>
        </w:tblPrEx>
        <w:trPr>
          <w:trHeight w:val="255" w:hRule="atLeast"/>
          <w:jc w:val="center"/>
        </w:trPr>
        <w:tc>
          <w:tcPr>
            <w:tcW w:w="6905" w:type="dxa"/>
            <w:gridSpan w:val="6"/>
            <w:tcBorders>
              <w:top w:val="single" w:color="auto" w:sz="4" w:space="0"/>
              <w:left w:val="single" w:color="auto" w:sz="4" w:space="0"/>
              <w:bottom w:val="single" w:color="auto" w:sz="4" w:space="0"/>
              <w:right w:val="single" w:color="auto" w:sz="4" w:space="0"/>
            </w:tcBorders>
            <w:shd w:val="clear" w:color="auto" w:fill="F2F2F2"/>
            <w:vAlign w:val="center"/>
          </w:tcPr>
          <w:p>
            <w:pPr>
              <w:jc w:val="center"/>
              <w:rPr>
                <w:rFonts w:cs="Arial"/>
                <w:b/>
                <w:bCs/>
                <w:i/>
                <w:iCs/>
                <w:color w:val="000000"/>
                <w:sz w:val="18"/>
                <w:szCs w:val="18"/>
              </w:rPr>
            </w:pPr>
            <w:r>
              <w:rPr>
                <w:rFonts w:cs="Arial"/>
                <w:b/>
                <w:bCs/>
                <w:i/>
                <w:iCs/>
                <w:color w:val="000000"/>
                <w:sz w:val="18"/>
                <w:szCs w:val="18"/>
              </w:rPr>
              <w:t>VALOR TOTAL ESTIMADO - GRUPO ........</w:t>
            </w:r>
          </w:p>
        </w:tc>
        <w:tc>
          <w:tcPr>
            <w:tcW w:w="3831" w:type="dxa"/>
            <w:gridSpan w:val="3"/>
            <w:tcBorders>
              <w:top w:val="single" w:color="auto" w:sz="4" w:space="0"/>
              <w:left w:val="nil"/>
              <w:bottom w:val="single" w:color="auto" w:sz="4" w:space="0"/>
              <w:right w:val="single" w:color="auto" w:sz="4" w:space="0"/>
            </w:tcBorders>
            <w:shd w:val="clear" w:color="auto" w:fill="F2F2F2"/>
            <w:vAlign w:val="center"/>
          </w:tcPr>
          <w:p>
            <w:pPr>
              <w:jc w:val="center"/>
              <w:rPr>
                <w:rFonts w:cs="Arial"/>
                <w:b/>
                <w:bCs/>
                <w:i/>
                <w:iCs/>
                <w:color w:val="000000"/>
                <w:sz w:val="18"/>
                <w:szCs w:val="18"/>
              </w:rPr>
            </w:pPr>
            <w:r>
              <w:rPr>
                <w:rFonts w:cs="Arial"/>
                <w:b/>
                <w:bCs/>
                <w:i/>
                <w:iCs/>
                <w:color w:val="000000"/>
                <w:sz w:val="18"/>
                <w:szCs w:val="18"/>
              </w:rPr>
              <w:t>R$</w:t>
            </w:r>
          </w:p>
        </w:tc>
      </w:tr>
    </w:tbl>
    <w:p>
      <w:pPr>
        <w:widowControl w:val="0"/>
        <w:tabs>
          <w:tab w:val="left" w:pos="2850"/>
        </w:tabs>
        <w:autoSpaceDE w:val="0"/>
        <w:autoSpaceDN w:val="0"/>
        <w:adjustRightInd w:val="0"/>
        <w:ind w:left="792"/>
        <w:jc w:val="both"/>
        <w:rPr>
          <w:rFonts w:cs="Arial"/>
          <w:sz w:val="21"/>
          <w:szCs w:val="21"/>
        </w:rPr>
      </w:pP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listagem do cadastro de reserva referente ao presente registro de preços consta como anexo a esta Ata.</w:t>
      </w:r>
    </w:p>
    <w:p>
      <w:pPr>
        <w:pStyle w:val="26"/>
        <w:rPr>
          <w:sz w:val="21"/>
          <w:szCs w:val="21"/>
        </w:rPr>
      </w:pPr>
      <w:r>
        <w:rPr>
          <w:sz w:val="21"/>
          <w:szCs w:val="21"/>
        </w:rPr>
        <w:t>ÓRGÃO(S) GERENCIADOR E PARTICIPANTE(S)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órgão gerenciador será o Instituto Federal da Paraíba – Reitoria.</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São órgãos e entidades públicas participantes do registro de preços:</w:t>
      </w:r>
    </w:p>
    <w:p>
      <w:pPr>
        <w:numPr>
          <w:ilvl w:val="2"/>
          <w:numId w:val="1"/>
        </w:numPr>
        <w:autoSpaceDE w:val="0"/>
        <w:autoSpaceDN w:val="0"/>
        <w:adjustRightInd w:val="0"/>
        <w:spacing w:before="120" w:after="120" w:line="276" w:lineRule="auto"/>
        <w:jc w:val="both"/>
        <w:rPr>
          <w:rFonts w:cs="Arial"/>
          <w:color w:val="FF0000"/>
          <w:sz w:val="21"/>
          <w:szCs w:val="21"/>
        </w:rPr>
      </w:pPr>
      <w:r>
        <w:rPr>
          <w:rFonts w:cs="Arial"/>
          <w:color w:val="FF0000"/>
          <w:sz w:val="21"/>
          <w:szCs w:val="21"/>
        </w:rPr>
        <w:t>.....</w:t>
      </w:r>
    </w:p>
    <w:p>
      <w:pPr>
        <w:pStyle w:val="26"/>
        <w:rPr>
          <w:sz w:val="21"/>
          <w:szCs w:val="21"/>
        </w:rPr>
      </w:pPr>
      <w:r>
        <w:rPr>
          <w:sz w:val="21"/>
          <w:szCs w:val="21"/>
        </w:rPr>
        <w:t>DA ADESÃO À ATA DE REGISTRO DE PREÇOS</w:t>
      </w:r>
    </w:p>
    <w:p>
      <w:pPr>
        <w:ind w:firstLine="567"/>
        <w:rPr>
          <w:rFonts w:cs="Arial"/>
          <w:sz w:val="21"/>
          <w:szCs w:val="21"/>
          <w:lang w:eastAsia="en-US"/>
        </w:rPr>
      </w:pP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da Economia.</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 xml:space="preserve"> Salvo para Atas de Registro de Preços gerenciadas no âmbito do Ministério da Economia, a adesão de que trata este item, para fins de contratação de serviços de tecnologia da informação e comunicação, só será permitida após a aprovação da ata de registro de preços pela Secretaria de Governo Digital do Ministério da Economia na forma do art. 22, §10, II do Decreto nº 7.892, de 2013 e da Instrução Normativa SGD/ME nº 2, de 4 de Abril de 2019.</w:t>
      </w:r>
    </w:p>
    <w:p>
      <w:pPr>
        <w:numPr>
          <w:ilvl w:val="3"/>
          <w:numId w:val="1"/>
        </w:numPr>
        <w:autoSpaceDE w:val="0"/>
        <w:autoSpaceDN w:val="0"/>
        <w:adjustRightInd w:val="0"/>
        <w:spacing w:before="120" w:after="120" w:line="276" w:lineRule="auto"/>
        <w:ind w:left="993" w:firstLine="0"/>
        <w:jc w:val="both"/>
        <w:rPr>
          <w:rFonts w:cs="Arial"/>
          <w:sz w:val="21"/>
          <w:szCs w:val="21"/>
        </w:rPr>
      </w:pPr>
      <w:r>
        <w:rPr>
          <w:rFonts w:cs="Arial"/>
          <w:sz w:val="21"/>
          <w:szCs w:val="21"/>
        </w:rPr>
        <w:t>O subitem anterior não se aplica às hipóteses em que a contratação de serviços esteja vinculada ao fornecimento de bens de tecnologia da informação e comunicação constante da mesma ata de registro de preços.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 xml:space="preserve">As aquisições ou contratações adicionais a que se refere este item não poderão exceder, por órgão ou entidade, a </w:t>
      </w:r>
      <w:r>
        <w:rPr>
          <w:rFonts w:cs="Arial"/>
          <w:b/>
          <w:sz w:val="21"/>
          <w:szCs w:val="21"/>
        </w:rPr>
        <w:t>50% (cinquenta por cento)</w:t>
      </w:r>
      <w:r>
        <w:rPr>
          <w:rFonts w:cs="Arial"/>
          <w:sz w:val="21"/>
          <w:szCs w:val="21"/>
        </w:rPr>
        <w:t xml:space="preserve"> dos quantitativos dos itens do instrumento convocatório e registrados na ata de registro de preços para o órgão gerenciador e órgãos participantes.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Após a autorização do órgão gerenciador, o órgão não participante deverá efetivar a contratação solicitada em até noventa dias, observado o prazo de validade da Ata de Registro de Preços.</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Caberá ao órgão gerenciador autorizar, excepcional e justificadamente, a prorrogação do prazo para efetivação da contratação, respeitado o prazo de vigência da ata, desde que solicitada pelo órgão não participante.</w:t>
      </w:r>
    </w:p>
    <w:p>
      <w:pPr>
        <w:pStyle w:val="26"/>
        <w:rPr>
          <w:sz w:val="21"/>
          <w:szCs w:val="21"/>
        </w:rPr>
      </w:pPr>
      <w:r>
        <w:rPr>
          <w:sz w:val="21"/>
          <w:szCs w:val="21"/>
        </w:rPr>
        <w:t xml:space="preserve">VALIDADE DA ATA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validade da Ata de Registro de Preços será de 12 meses, a partir do(a) data de sua assinatura, não podendo ser prorrogada.</w:t>
      </w:r>
    </w:p>
    <w:p>
      <w:pPr>
        <w:pStyle w:val="26"/>
        <w:rPr>
          <w:sz w:val="21"/>
          <w:szCs w:val="21"/>
        </w:rPr>
      </w:pPr>
      <w:r>
        <w:rPr>
          <w:sz w:val="21"/>
          <w:szCs w:val="21"/>
        </w:rPr>
        <w:t xml:space="preserve">REVISÃO E CANCELAMENTO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convocar os demais fornecedores para assegurar igual oportunidade de negociação.</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registro do fornecedor será cancelado quando:</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descumprir as condições da ata de registro de preços;</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cancelamento de registros nas hipóteses previstas nos itens 6.7.1, 6.7.2 e 6.7.4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por razão de interesse público; ou</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a pedido do fornecedor. </w:t>
      </w:r>
    </w:p>
    <w:p>
      <w:pPr>
        <w:pStyle w:val="26"/>
        <w:rPr>
          <w:sz w:val="21"/>
          <w:szCs w:val="21"/>
        </w:rPr>
      </w:pPr>
      <w:r>
        <w:rPr>
          <w:sz w:val="21"/>
          <w:szCs w:val="21"/>
        </w:rPr>
        <w:t>DAS PENALIDADES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descumprimento da Ata de Registro de Preços ensejará aplicação das penalidades estabelecidas no Edital.</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 xml:space="preserve">As sanções do item acima também se aplicam aos integrantes do cadastro de reserva, em pregão para registro de preços que, convocados, não honrarem o compromisso assumido injustificadamente, nos termos do art. 49, §1º do Decreto nº 10.024/19.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O órgão participante deverá comunicar ao órgão gerenciador qualquer das ocorrências previstas no art. 20 do Decreto nº 7.892/2013, dada a necessidade de instauração de procedimento para cancelamento do registro do fornecedor.</w:t>
      </w:r>
    </w:p>
    <w:p>
      <w:pPr>
        <w:pStyle w:val="26"/>
        <w:rPr>
          <w:sz w:val="21"/>
          <w:szCs w:val="21"/>
        </w:rPr>
      </w:pPr>
      <w:r>
        <w:rPr>
          <w:sz w:val="21"/>
          <w:szCs w:val="21"/>
        </w:rPr>
        <w:t>CONDIÇÕES GERAIS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É vedado efetuar acréscimos nos quantitativos fixados nesta ata de registro de preços, inclusive o acréscimo de que trata o § 1º do art. 65 da Lei nº 8.666/93, nos termos do art. 12, §1º do Decreto nº 7.892/13.</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No caso de adjudicação por preço global de grupo de itens, só será admitida a contratação dos itens nas seguintes hipóteses.</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 xml:space="preserve"> contratação da totalidade dos itens de grupo, respeitadas as proporções de quantitativos definidos no certame; ou</w:t>
      </w:r>
    </w:p>
    <w:p>
      <w:pPr>
        <w:numPr>
          <w:ilvl w:val="2"/>
          <w:numId w:val="1"/>
        </w:numPr>
        <w:autoSpaceDE w:val="0"/>
        <w:autoSpaceDN w:val="0"/>
        <w:adjustRightInd w:val="0"/>
        <w:spacing w:before="120" w:after="120" w:line="276" w:lineRule="auto"/>
        <w:ind w:left="709" w:firstLine="0"/>
        <w:jc w:val="both"/>
        <w:rPr>
          <w:rFonts w:cs="Arial"/>
          <w:sz w:val="21"/>
          <w:szCs w:val="21"/>
        </w:rPr>
      </w:pPr>
      <w:r>
        <w:rPr>
          <w:rFonts w:cs="Arial"/>
          <w:sz w:val="21"/>
          <w:szCs w:val="21"/>
        </w:rPr>
        <w:t xml:space="preserve"> contratação de item isolado para o qual o preço unitário adjudicado ao vencedor seja o menor preço válido ofertado para o mesmo item na fase de lances</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cs="Arial"/>
          <w:sz w:val="21"/>
          <w:szCs w:val="21"/>
        </w:rPr>
        <w:t xml:space="preserve">Para firmeza e validade do pactuado, a presente Ata foi lavrada em 2 (duas) vias de igual teor, que, depois de lida e achada em ordem, vai assinada pelas partes e encaminhada cópia aos demais órgãos participantes. </w:t>
      </w:r>
    </w:p>
    <w:p>
      <w:pPr>
        <w:widowControl w:val="0"/>
        <w:autoSpaceDE w:val="0"/>
        <w:autoSpaceDN w:val="0"/>
        <w:adjustRightInd w:val="0"/>
        <w:ind w:right="-15"/>
        <w:jc w:val="both"/>
        <w:rPr>
          <w:rFonts w:cs="Arial"/>
          <w:i/>
          <w:iCs/>
          <w:color w:val="FF0000"/>
          <w:sz w:val="21"/>
          <w:szCs w:val="21"/>
        </w:rPr>
      </w:pPr>
    </w:p>
    <w:p>
      <w:pPr>
        <w:tabs>
          <w:tab w:val="left" w:pos="6555"/>
        </w:tabs>
        <w:spacing w:before="120" w:after="120"/>
        <w:jc w:val="right"/>
        <w:rPr>
          <w:rFonts w:cs="Arial"/>
          <w:color w:val="FF0000"/>
          <w:sz w:val="21"/>
          <w:szCs w:val="21"/>
        </w:rPr>
      </w:pPr>
      <w:r>
        <w:rPr>
          <w:rFonts w:cs="Arial"/>
          <w:color w:val="FF0000"/>
          <w:sz w:val="21"/>
          <w:szCs w:val="21"/>
        </w:rPr>
        <w:t>João Pessoa - PB, ...... de ........................ de 2020</w:t>
      </w:r>
    </w:p>
    <w:p>
      <w:pPr>
        <w:tabs>
          <w:tab w:val="left" w:pos="6555"/>
        </w:tabs>
        <w:spacing w:before="120" w:after="120"/>
        <w:jc w:val="right"/>
        <w:rPr>
          <w:rFonts w:cs="Arial"/>
          <w:sz w:val="21"/>
          <w:szCs w:val="21"/>
        </w:rPr>
      </w:pPr>
    </w:p>
    <w:p>
      <w:pPr>
        <w:tabs>
          <w:tab w:val="left" w:pos="6555"/>
        </w:tabs>
        <w:jc w:val="center"/>
        <w:rPr>
          <w:rFonts w:cs="Arial"/>
          <w:sz w:val="21"/>
          <w:szCs w:val="21"/>
        </w:rPr>
      </w:pPr>
      <w:r>
        <w:rPr>
          <w:rFonts w:cs="Arial"/>
          <w:b/>
          <w:spacing w:val="-3"/>
          <w:sz w:val="21"/>
          <w:szCs w:val="21"/>
        </w:rPr>
        <w:t>CÍCERO NICÁCIO DO NASCIMENTO LOPES</w:t>
      </w:r>
    </w:p>
    <w:p>
      <w:pPr>
        <w:tabs>
          <w:tab w:val="left" w:pos="6555"/>
        </w:tabs>
        <w:jc w:val="center"/>
        <w:rPr>
          <w:rFonts w:cs="Arial"/>
          <w:spacing w:val="-3"/>
          <w:sz w:val="21"/>
          <w:szCs w:val="21"/>
        </w:rPr>
      </w:pPr>
      <w:r>
        <w:rPr>
          <w:rFonts w:cs="Arial"/>
          <w:spacing w:val="-3"/>
          <w:sz w:val="21"/>
          <w:szCs w:val="21"/>
        </w:rPr>
        <w:t>Reitor</w:t>
      </w:r>
    </w:p>
    <w:p>
      <w:pPr>
        <w:tabs>
          <w:tab w:val="left" w:pos="6555"/>
        </w:tabs>
        <w:jc w:val="center"/>
        <w:rPr>
          <w:rFonts w:cs="Arial"/>
          <w:spacing w:val="-3"/>
          <w:sz w:val="21"/>
          <w:szCs w:val="21"/>
        </w:rPr>
      </w:pPr>
    </w:p>
    <w:p>
      <w:pPr>
        <w:widowControl w:val="0"/>
        <w:autoSpaceDE w:val="0"/>
        <w:autoSpaceDN w:val="0"/>
        <w:adjustRightInd w:val="0"/>
        <w:ind w:right="-30"/>
        <w:jc w:val="both"/>
        <w:rPr>
          <w:rFonts w:cs="Arial"/>
          <w:sz w:val="21"/>
          <w:szCs w:val="21"/>
        </w:rPr>
      </w:pPr>
    </w:p>
    <w:p>
      <w:pPr>
        <w:widowControl w:val="0"/>
        <w:autoSpaceDE w:val="0"/>
        <w:autoSpaceDN w:val="0"/>
        <w:adjustRightInd w:val="0"/>
        <w:ind w:right="-30"/>
        <w:jc w:val="center"/>
        <w:rPr>
          <w:rFonts w:cs="Arial"/>
          <w:b/>
          <w:color w:val="FF0000"/>
          <w:sz w:val="21"/>
          <w:szCs w:val="21"/>
        </w:rPr>
      </w:pPr>
      <w:r>
        <w:rPr>
          <w:rFonts w:cs="Arial"/>
          <w:b/>
          <w:color w:val="FF0000"/>
          <w:sz w:val="21"/>
          <w:szCs w:val="21"/>
        </w:rPr>
        <w:t>[nome do signatário]</w:t>
      </w:r>
    </w:p>
    <w:p>
      <w:pPr>
        <w:widowControl w:val="0"/>
        <w:autoSpaceDE w:val="0"/>
        <w:autoSpaceDN w:val="0"/>
        <w:adjustRightInd w:val="0"/>
        <w:ind w:right="-30"/>
        <w:jc w:val="center"/>
        <w:rPr>
          <w:rFonts w:cs="Arial"/>
          <w:color w:val="FF0000"/>
          <w:sz w:val="21"/>
          <w:szCs w:val="21"/>
        </w:rPr>
      </w:pPr>
      <w:r>
        <w:rPr>
          <w:rFonts w:cs="Arial"/>
          <w:color w:val="FF0000"/>
          <w:sz w:val="21"/>
          <w:szCs w:val="21"/>
        </w:rPr>
        <w:t>RG n.°: .............. – SSP/........</w:t>
      </w:r>
    </w:p>
    <w:p>
      <w:pPr>
        <w:widowControl w:val="0"/>
        <w:autoSpaceDE w:val="0"/>
        <w:autoSpaceDN w:val="0"/>
        <w:adjustRightInd w:val="0"/>
        <w:ind w:right="-15"/>
        <w:jc w:val="both"/>
        <w:rPr>
          <w:rFonts w:cs="Arial"/>
          <w:i/>
          <w:iCs/>
          <w:sz w:val="21"/>
          <w:szCs w:val="21"/>
        </w:rPr>
      </w:pPr>
    </w:p>
    <w:sectPr>
      <w:headerReference r:id="rId3" w:type="default"/>
      <w:footerReference r:id="rId4" w:type="default"/>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auto"/>
    <w:pitch w:val="default"/>
    <w:sig w:usb0="E00002FF" w:usb1="6AC7FDFB" w:usb2="00000012" w:usb3="00000000" w:csb0="4002009F" w:csb1="DFD70000"/>
  </w:font>
  <w:font w:name="Ecofont_Spranq_eco_Sans">
    <w:altName w:val="DejaVu Sans"/>
    <w:panose1 w:val="00000000000000000000"/>
    <w:charset w:val="00"/>
    <w:family w:val="swiss"/>
    <w:pitch w:val="default"/>
    <w:sig w:usb0="00000000" w:usb1="00000000" w:usb2="00000000" w:usb3="00000000" w:csb0="00000001" w:csb1="00000000"/>
  </w:font>
  <w:font w:name="Segoe UI">
    <w:panose1 w:val="020B0502040204020203"/>
    <w:charset w:val="00"/>
    <w:family w:val="swiss"/>
    <w:pitch w:val="default"/>
    <w:sig w:usb0="E10022FF" w:usb1="C000E47F" w:usb2="00000029" w:usb3="00000000" w:csb0="200001DF" w:csb1="20000000"/>
  </w:font>
  <w:font w:name="Mangal">
    <w:panose1 w:val="02040503050203030202"/>
    <w:charset w:val="00"/>
    <w:family w:val="roman"/>
    <w:pitch w:val="default"/>
    <w:sig w:usb0="00008003"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Bdr>
        <w:bottom w:val="single" w:color="00000A" w:sz="6" w:space="1"/>
      </w:pBdr>
      <w:spacing w:after="0" w:line="240" w:lineRule="auto"/>
      <w:rPr>
        <w:rFonts w:cs="Arial"/>
        <w:sz w:val="12"/>
        <w:szCs w:val="12"/>
      </w:rPr>
    </w:pPr>
  </w:p>
  <w:p>
    <w:pPr>
      <w:pStyle w:val="32"/>
      <w:spacing w:after="0" w:line="240" w:lineRule="auto"/>
      <w:jc w:val="both"/>
    </w:pPr>
    <w:r>
      <w:rPr>
        <w:rFonts w:ascii="Carlito" w:hAnsi="Carlito" w:cs="Carlito"/>
        <w:b/>
        <w:sz w:val="16"/>
        <w:szCs w:val="16"/>
        <w:shd w:val="clear" w:color="auto" w:fill="FFFFFF"/>
      </w:rPr>
      <w:t>Diretoria de Compras, Contratos e Licitações</w:t>
    </w:r>
  </w:p>
  <w:p>
    <w:pPr>
      <w:pStyle w:val="32"/>
      <w:spacing w:after="0" w:line="240" w:lineRule="auto"/>
      <w:jc w:val="both"/>
    </w:pPr>
    <w:r>
      <w:rPr>
        <w:rFonts w:ascii="Carlito" w:hAnsi="Carlito" w:cs="Carlito"/>
        <w:sz w:val="16"/>
        <w:szCs w:val="16"/>
        <w:shd w:val="clear" w:color="auto" w:fill="FFFFFF"/>
      </w:rPr>
      <w:t>Av. Almirante Barroso, 1077, Centro, João Pessoa/PB, CEP: 58.013-120</w:t>
    </w:r>
  </w:p>
  <w:p>
    <w:pPr>
      <w:pStyle w:val="32"/>
      <w:spacing w:after="0" w:line="240" w:lineRule="auto"/>
      <w:jc w:val="both"/>
    </w:pPr>
    <w:r>
      <w:rPr>
        <w:rFonts w:ascii="Carlito" w:hAnsi="Carlito" w:cs="Carlito"/>
        <w:sz w:val="16"/>
        <w:szCs w:val="16"/>
        <w:shd w:val="clear" w:color="auto"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35560" distL="0" distR="0" simplePos="0" relativeHeight="251659264" behindDoc="1" locked="0" layoutInCell="1" allowOverlap="1">
          <wp:simplePos x="0" y="0"/>
          <wp:positionH relativeFrom="column">
            <wp:posOffset>2327275</wp:posOffset>
          </wp:positionH>
          <wp:positionV relativeFrom="paragraph">
            <wp:posOffset>-245745</wp:posOffset>
          </wp:positionV>
          <wp:extent cx="704215" cy="724535"/>
          <wp:effectExtent l="0" t="0" r="635"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215" cy="724535"/>
                  </a:xfrm>
                  <a:prstGeom prst="rect">
                    <a:avLst/>
                  </a:prstGeom>
                </pic:spPr>
              </pic:pic>
            </a:graphicData>
          </a:graphic>
        </wp:anchor>
      </w:drawing>
    </w:r>
  </w:p>
  <w:p>
    <w:pPr>
      <w:keepNext/>
      <w:overflowPunct w:val="0"/>
      <w:jc w:val="center"/>
      <w:rPr>
        <w:rFonts w:cs="Arial"/>
        <w:bCs/>
        <w:sz w:val="21"/>
        <w:szCs w:val="21"/>
      </w:rPr>
    </w:pPr>
  </w:p>
  <w:p>
    <w:pPr>
      <w:keepNext/>
      <w:overflowPunct w:val="0"/>
      <w:jc w:val="center"/>
      <w:rPr>
        <w:rFonts w:cs="Arial"/>
        <w:bCs/>
        <w:sz w:val="21"/>
        <w:szCs w:val="21"/>
      </w:rPr>
    </w:pPr>
  </w:p>
  <w:p>
    <w:pPr>
      <w:keepNext/>
      <w:overflowPunct w:val="0"/>
      <w:jc w:val="center"/>
      <w:rPr>
        <w:rFonts w:cs="Arial"/>
        <w:sz w:val="21"/>
        <w:szCs w:val="21"/>
      </w:rPr>
    </w:pPr>
    <w:r>
      <w:rPr>
        <w:rFonts w:cs="Arial"/>
        <w:bCs/>
        <w:sz w:val="21"/>
        <w:szCs w:val="21"/>
      </w:rPr>
      <w:t>MINISTÉRIO DA EDUCAÇÃO</w:t>
    </w:r>
  </w:p>
  <w:p>
    <w:pPr>
      <w:keepNext/>
      <w:overflowPunct w:val="0"/>
      <w:jc w:val="center"/>
      <w:rPr>
        <w:rFonts w:cs="Arial"/>
        <w:sz w:val="21"/>
        <w:szCs w:val="21"/>
      </w:rPr>
    </w:pPr>
    <w:r>
      <w:rPr>
        <w:rFonts w:cs="Arial"/>
        <w:bCs/>
        <w:sz w:val="21"/>
        <w:szCs w:val="21"/>
      </w:rPr>
      <w:t>Secretaria de Educação Profissional e Tecnológica</w:t>
    </w:r>
  </w:p>
  <w:p>
    <w:pPr>
      <w:keepNext/>
      <w:overflowPunct w:val="0"/>
      <w:jc w:val="center"/>
      <w:rPr>
        <w:rFonts w:cs="Arial"/>
        <w:sz w:val="21"/>
        <w:szCs w:val="21"/>
      </w:rPr>
    </w:pPr>
    <w:r>
      <w:rPr>
        <w:rFonts w:cs="Arial"/>
        <w:bCs/>
        <w:sz w:val="21"/>
        <w:szCs w:val="21"/>
      </w:rPr>
      <w:t>Instituto Federal de Educação, Ciência e Tecnologia da Paraíba</w:t>
    </w:r>
  </w:p>
  <w:p>
    <w:pPr>
      <w:keepNext/>
      <w:tabs>
        <w:tab w:val="left" w:pos="4735"/>
      </w:tabs>
      <w:overflowPunct w:val="0"/>
      <w:jc w:val="center"/>
      <w:rPr>
        <w:rFonts w:cs="Arial"/>
        <w:sz w:val="21"/>
        <w:szCs w:val="21"/>
      </w:rPr>
    </w:pPr>
    <w:r>
      <w:rPr>
        <w:rFonts w:cs="Arial"/>
        <w:bCs/>
        <w:sz w:val="21"/>
        <w:szCs w:val="21"/>
      </w:rPr>
      <w:t>Pró-Reitoria de Administração e Finanças</w:t>
    </w: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pStyle w:val="26"/>
      <w:lvlText w:val="%1."/>
      <w:lvlJc w:val="left"/>
      <w:pPr>
        <w:ind w:left="360" w:hanging="360"/>
      </w:pPr>
    </w:lvl>
    <w:lvl w:ilvl="1" w:tentative="0">
      <w:start w:val="1"/>
      <w:numFmt w:val="decimal"/>
      <w:lvlText w:val="%1.%2."/>
      <w:lvlJc w:val="left"/>
      <w:pPr>
        <w:ind w:left="792" w:hanging="432"/>
      </w:pPr>
      <w:rPr>
        <w:sz w:val="21"/>
        <w:szCs w:val="21"/>
      </w:rPr>
    </w:lvl>
    <w:lvl w:ilvl="2" w:tentative="0">
      <w:start w:val="1"/>
      <w:numFmt w:val="decimal"/>
      <w:lvlText w:val="%1.%2.%3."/>
      <w:lvlJc w:val="left"/>
      <w:pPr>
        <w:ind w:left="1224" w:hanging="504"/>
      </w:pPr>
      <w:rPr>
        <w:i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D1240"/>
    <w:rsid w:val="00113AE6"/>
    <w:rsid w:val="00116DDF"/>
    <w:rsid w:val="00130234"/>
    <w:rsid w:val="0016173D"/>
    <w:rsid w:val="001770D2"/>
    <w:rsid w:val="001D310A"/>
    <w:rsid w:val="00210AA6"/>
    <w:rsid w:val="00220E98"/>
    <w:rsid w:val="0025456D"/>
    <w:rsid w:val="002712DA"/>
    <w:rsid w:val="00287B6A"/>
    <w:rsid w:val="0029606B"/>
    <w:rsid w:val="002A3357"/>
    <w:rsid w:val="002B3D1E"/>
    <w:rsid w:val="002E1277"/>
    <w:rsid w:val="002F4C05"/>
    <w:rsid w:val="003017F7"/>
    <w:rsid w:val="00390169"/>
    <w:rsid w:val="003962AF"/>
    <w:rsid w:val="003A7990"/>
    <w:rsid w:val="003B47A1"/>
    <w:rsid w:val="003C49EC"/>
    <w:rsid w:val="003E658F"/>
    <w:rsid w:val="004070C9"/>
    <w:rsid w:val="00411485"/>
    <w:rsid w:val="0042684A"/>
    <w:rsid w:val="0043176D"/>
    <w:rsid w:val="004359FC"/>
    <w:rsid w:val="00446920"/>
    <w:rsid w:val="00453D3C"/>
    <w:rsid w:val="004811E3"/>
    <w:rsid w:val="004A6DF8"/>
    <w:rsid w:val="004C14E4"/>
    <w:rsid w:val="00502D9C"/>
    <w:rsid w:val="00520E7A"/>
    <w:rsid w:val="005A5E12"/>
    <w:rsid w:val="00622A02"/>
    <w:rsid w:val="00631E43"/>
    <w:rsid w:val="00673105"/>
    <w:rsid w:val="006A6418"/>
    <w:rsid w:val="006D7024"/>
    <w:rsid w:val="00717E2A"/>
    <w:rsid w:val="00734091"/>
    <w:rsid w:val="00760276"/>
    <w:rsid w:val="007848ED"/>
    <w:rsid w:val="00810F58"/>
    <w:rsid w:val="00831233"/>
    <w:rsid w:val="00866CC7"/>
    <w:rsid w:val="008764C0"/>
    <w:rsid w:val="00882690"/>
    <w:rsid w:val="008B5DAF"/>
    <w:rsid w:val="008C2179"/>
    <w:rsid w:val="008D10FD"/>
    <w:rsid w:val="00906B4E"/>
    <w:rsid w:val="00921EFD"/>
    <w:rsid w:val="0093531B"/>
    <w:rsid w:val="0098734B"/>
    <w:rsid w:val="009B08EF"/>
    <w:rsid w:val="009C5683"/>
    <w:rsid w:val="009D5E28"/>
    <w:rsid w:val="009E4456"/>
    <w:rsid w:val="00A52B45"/>
    <w:rsid w:val="00A57B8A"/>
    <w:rsid w:val="00A7721F"/>
    <w:rsid w:val="00AB0846"/>
    <w:rsid w:val="00B10156"/>
    <w:rsid w:val="00B42E7F"/>
    <w:rsid w:val="00B523BB"/>
    <w:rsid w:val="00B76EBB"/>
    <w:rsid w:val="00BA7608"/>
    <w:rsid w:val="00BB6376"/>
    <w:rsid w:val="00C017B6"/>
    <w:rsid w:val="00C11EEC"/>
    <w:rsid w:val="00C1527B"/>
    <w:rsid w:val="00C159F6"/>
    <w:rsid w:val="00C31155"/>
    <w:rsid w:val="00C341D8"/>
    <w:rsid w:val="00C35F50"/>
    <w:rsid w:val="00C5111B"/>
    <w:rsid w:val="00C60729"/>
    <w:rsid w:val="00C7693F"/>
    <w:rsid w:val="00CB46FC"/>
    <w:rsid w:val="00CB6ADB"/>
    <w:rsid w:val="00CE5B2F"/>
    <w:rsid w:val="00D50B23"/>
    <w:rsid w:val="00D535EE"/>
    <w:rsid w:val="00D63A70"/>
    <w:rsid w:val="00D66549"/>
    <w:rsid w:val="00D72FB0"/>
    <w:rsid w:val="00D7344C"/>
    <w:rsid w:val="00D90DF8"/>
    <w:rsid w:val="00DA505B"/>
    <w:rsid w:val="00DB1AB2"/>
    <w:rsid w:val="00DD029E"/>
    <w:rsid w:val="00DD7B98"/>
    <w:rsid w:val="00E36376"/>
    <w:rsid w:val="00E603AA"/>
    <w:rsid w:val="00E718B1"/>
    <w:rsid w:val="00EE517C"/>
    <w:rsid w:val="00EF3535"/>
    <w:rsid w:val="00F77F32"/>
    <w:rsid w:val="00FB3FE8"/>
    <w:rsid w:val="00FB7C83"/>
    <w:rsid w:val="00FC01AD"/>
    <w:rsid w:val="00FD05A7"/>
    <w:rsid w:val="00FD7CFF"/>
    <w:rsid w:val="09FC40E8"/>
    <w:rsid w:val="18F5536D"/>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2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character" w:default="1" w:styleId="10">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3">
    <w:name w:val="Body Text"/>
    <w:basedOn w:val="1"/>
    <w:link w:val="18"/>
    <w:unhideWhenUsed/>
    <w:uiPriority w:val="99"/>
    <w:pPr>
      <w:spacing w:before="100" w:beforeAutospacing="1" w:after="100" w:afterAutospacing="1"/>
    </w:pPr>
    <w:rPr>
      <w:rFonts w:ascii="Times New Roman" w:hAnsi="Times New Roman" w:cs="Times New Roman"/>
    </w:rPr>
  </w:style>
  <w:style w:type="paragraph" w:styleId="4">
    <w:name w:val="annotation text"/>
    <w:basedOn w:val="1"/>
    <w:link w:val="29"/>
    <w:semiHidden/>
    <w:unhideWhenUsed/>
    <w:uiPriority w:val="0"/>
    <w:rPr>
      <w:szCs w:val="20"/>
    </w:rPr>
  </w:style>
  <w:style w:type="paragraph" w:styleId="5">
    <w:name w:val="Normal (Web)"/>
    <w:basedOn w:val="1"/>
    <w:semiHidden/>
    <w:unhideWhenUsed/>
    <w:qFormat/>
    <w:uiPriority w:val="99"/>
    <w:pPr>
      <w:spacing w:before="100" w:beforeAutospacing="1" w:after="100" w:afterAutospacing="1"/>
    </w:pPr>
    <w:rPr>
      <w:rFonts w:ascii="Times New Roman" w:hAnsi="Times New Roman" w:cs="Times New Roman"/>
      <w:sz w:val="24"/>
    </w:rPr>
  </w:style>
  <w:style w:type="paragraph" w:styleId="6">
    <w:name w:val="header"/>
    <w:basedOn w:val="1"/>
    <w:link w:val="19"/>
    <w:unhideWhenUsed/>
    <w:qFormat/>
    <w:uiPriority w:val="0"/>
    <w:pPr>
      <w:tabs>
        <w:tab w:val="center" w:pos="4252"/>
        <w:tab w:val="right" w:pos="8504"/>
      </w:tabs>
    </w:pPr>
  </w:style>
  <w:style w:type="paragraph" w:styleId="7">
    <w:name w:val="annotation subject"/>
    <w:basedOn w:val="4"/>
    <w:next w:val="4"/>
    <w:link w:val="30"/>
    <w:semiHidden/>
    <w:unhideWhenUsed/>
    <w:uiPriority w:val="0"/>
    <w:rPr>
      <w:b/>
      <w:bCs/>
    </w:rPr>
  </w:style>
  <w:style w:type="paragraph" w:styleId="8">
    <w:name w:val="footer"/>
    <w:basedOn w:val="1"/>
    <w:link w:val="20"/>
    <w:unhideWhenUsed/>
    <w:uiPriority w:val="0"/>
    <w:pPr>
      <w:tabs>
        <w:tab w:val="center" w:pos="4252"/>
        <w:tab w:val="right" w:pos="8504"/>
      </w:tabs>
    </w:pPr>
  </w:style>
  <w:style w:type="paragraph" w:styleId="9">
    <w:name w:val="Balloon Text"/>
    <w:basedOn w:val="1"/>
    <w:link w:val="31"/>
    <w:semiHidden/>
    <w:unhideWhenUsed/>
    <w:uiPriority w:val="0"/>
    <w:rPr>
      <w:rFonts w:ascii="Segoe UI" w:hAnsi="Segoe UI" w:cs="Segoe UI"/>
      <w:sz w:val="18"/>
      <w:szCs w:val="18"/>
    </w:rPr>
  </w:style>
  <w:style w:type="character" w:styleId="11">
    <w:name w:val="Strong"/>
    <w:basedOn w:val="10"/>
    <w:qFormat/>
    <w:uiPriority w:val="22"/>
    <w:rPr>
      <w:b/>
      <w:bCs/>
    </w:rPr>
  </w:style>
  <w:style w:type="character" w:styleId="12">
    <w:name w:val="annotation reference"/>
    <w:basedOn w:val="10"/>
    <w:semiHidden/>
    <w:unhideWhenUsed/>
    <w:uiPriority w:val="0"/>
    <w:rPr>
      <w:sz w:val="16"/>
      <w:szCs w:val="16"/>
    </w:rPr>
  </w:style>
  <w:style w:type="character" w:styleId="13">
    <w:name w:val="Emphasis"/>
    <w:basedOn w:val="10"/>
    <w:qFormat/>
    <w:uiPriority w:val="20"/>
    <w:rPr>
      <w:i/>
      <w:iCs/>
    </w:rPr>
  </w:style>
  <w:style w:type="character" w:styleId="14">
    <w:name w:val="Hyperlink"/>
    <w:unhideWhenUsed/>
    <w:qFormat/>
    <w:uiPriority w:val="99"/>
    <w:rPr>
      <w:color w:val="0000FF"/>
      <w:u w:val="single"/>
    </w:rPr>
  </w:style>
  <w:style w:type="paragraph" w:customStyle="1" w:styleId="16">
    <w:name w:val="Grade Colorida - Ênfase 11"/>
    <w:basedOn w:val="1"/>
    <w:next w:val="1"/>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17">
    <w:name w:val="Grade Colorida - Ênfase 1 Char"/>
    <w:link w:val="16"/>
    <w:uiPriority w:val="0"/>
    <w:rPr>
      <w:rFonts w:ascii="Ecofont_Spranq_eco_Sans" w:hAnsi="Ecofont_Spranq_eco_Sans" w:eastAsia="Calibri" w:cs="Tahoma"/>
      <w:i/>
      <w:iCs/>
      <w:color w:val="000000"/>
      <w:szCs w:val="24"/>
      <w:lang w:val="pt-BR" w:eastAsia="en-US" w:bidi="ar-SA"/>
    </w:rPr>
  </w:style>
  <w:style w:type="character" w:customStyle="1" w:styleId="18">
    <w:name w:val="Corpo de texto Char"/>
    <w:link w:val="3"/>
    <w:qFormat/>
    <w:uiPriority w:val="99"/>
    <w:rPr>
      <w:sz w:val="24"/>
      <w:szCs w:val="24"/>
    </w:rPr>
  </w:style>
  <w:style w:type="character" w:customStyle="1" w:styleId="19">
    <w:name w:val="Cabeçalho Char"/>
    <w:basedOn w:val="10"/>
    <w:link w:val="6"/>
    <w:uiPriority w:val="0"/>
    <w:rPr>
      <w:rFonts w:ascii="Ecofont_Spranq_eco_Sans" w:hAnsi="Ecofont_Spranq_eco_Sans" w:cs="Tahoma"/>
      <w:sz w:val="24"/>
      <w:szCs w:val="24"/>
    </w:rPr>
  </w:style>
  <w:style w:type="character" w:customStyle="1" w:styleId="20">
    <w:name w:val="Rodapé Char"/>
    <w:basedOn w:val="10"/>
    <w:link w:val="8"/>
    <w:uiPriority w:val="0"/>
    <w:rPr>
      <w:rFonts w:ascii="Ecofont_Spranq_eco_Sans" w:hAnsi="Ecofont_Spranq_eco_Sans" w:cs="Tahoma"/>
      <w:sz w:val="24"/>
      <w:szCs w:val="24"/>
    </w:rPr>
  </w:style>
  <w:style w:type="paragraph" w:customStyle="1" w:styleId="21">
    <w:name w:val="citação 2"/>
    <w:basedOn w:val="22"/>
    <w:link w:val="2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2">
    <w:name w:val="Quote"/>
    <w:basedOn w:val="1"/>
    <w:next w:val="1"/>
    <w:link w:val="24"/>
    <w:qFormat/>
    <w:uiPriority w:val="29"/>
    <w:rPr>
      <w:i/>
      <w:iCs/>
      <w:color w:val="000000" w:themeColor="text1"/>
      <w14:textFill>
        <w14:solidFill>
          <w14:schemeClr w14:val="tx1"/>
        </w14:solidFill>
      </w14:textFill>
    </w:rPr>
  </w:style>
  <w:style w:type="character" w:customStyle="1" w:styleId="23">
    <w:name w:val="citação 2 Char"/>
    <w:basedOn w:val="24"/>
    <w:link w:val="21"/>
    <w:uiPriority w:val="0"/>
    <w:rPr>
      <w:rFonts w:ascii="Ecofont_Spranq_eco_Sans" w:hAnsi="Ecofont_Spranq_eco_Sans" w:eastAsia="Calibri" w:cs="Tahoma"/>
      <w:color w:val="000000"/>
      <w:sz w:val="24"/>
      <w:szCs w:val="24"/>
      <w:shd w:val="clear" w:color="auto" w:fill="FFFFCC"/>
      <w:lang w:eastAsia="en-US"/>
    </w:rPr>
  </w:style>
  <w:style w:type="character" w:customStyle="1" w:styleId="24">
    <w:name w:val="Citação Char"/>
    <w:basedOn w:val="10"/>
    <w:link w:val="22"/>
    <w:uiPriority w:val="29"/>
    <w:rPr>
      <w:rFonts w:ascii="Ecofont_Spranq_eco_Sans" w:hAnsi="Ecofont_Spranq_eco_Sans" w:cs="Tahoma"/>
      <w:i/>
      <w:iCs/>
      <w:color w:val="000000" w:themeColor="text1"/>
      <w:sz w:val="24"/>
      <w:szCs w:val="24"/>
      <w14:textFill>
        <w14:solidFill>
          <w14:schemeClr w14:val="tx1"/>
        </w14:solidFill>
      </w14:textFill>
    </w:rPr>
  </w:style>
  <w:style w:type="paragraph" w:styleId="25">
    <w:name w:val="List Paragraph"/>
    <w:basedOn w:val="1"/>
    <w:qFormat/>
    <w:uiPriority w:val="34"/>
    <w:pPr>
      <w:ind w:left="720"/>
      <w:contextualSpacing/>
    </w:pPr>
  </w:style>
  <w:style w:type="paragraph" w:customStyle="1" w:styleId="26">
    <w:name w:val="Nivel1"/>
    <w:basedOn w:val="2"/>
    <w:next w:val="1"/>
    <w:link w:val="28"/>
    <w:qFormat/>
    <w:uiPriority w:val="0"/>
    <w:pPr>
      <w:widowControl w:val="0"/>
      <w:numPr>
        <w:ilvl w:val="0"/>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27">
    <w:name w:val="Título 1 Char"/>
    <w:basedOn w:val="10"/>
    <w:link w:val="2"/>
    <w:uiPriority w:val="0"/>
    <w:rPr>
      <w:rFonts w:asciiTheme="majorHAnsi" w:hAnsiTheme="majorHAnsi" w:eastAsiaTheme="majorEastAsia" w:cstheme="majorBidi"/>
      <w:color w:val="376092" w:themeColor="accent1" w:themeShade="BF"/>
      <w:sz w:val="32"/>
      <w:szCs w:val="32"/>
    </w:rPr>
  </w:style>
  <w:style w:type="character" w:customStyle="1" w:styleId="28">
    <w:name w:val="Nivel1 Char"/>
    <w:basedOn w:val="27"/>
    <w:link w:val="26"/>
    <w:uiPriority w:val="0"/>
    <w:rPr>
      <w:rFonts w:ascii="Arial" w:hAnsi="Arial" w:cs="Arial" w:eastAsiaTheme="majorEastAsia"/>
      <w:b/>
      <w:bCs/>
      <w:color w:val="376092" w:themeColor="accent1" w:themeShade="BF"/>
      <w:sz w:val="32"/>
      <w:szCs w:val="32"/>
    </w:rPr>
  </w:style>
  <w:style w:type="character" w:customStyle="1" w:styleId="29">
    <w:name w:val="Texto de comentário Char"/>
    <w:basedOn w:val="10"/>
    <w:link w:val="4"/>
    <w:semiHidden/>
    <w:uiPriority w:val="0"/>
    <w:rPr>
      <w:rFonts w:ascii="Arial" w:hAnsi="Arial" w:cs="Tahoma"/>
    </w:rPr>
  </w:style>
  <w:style w:type="character" w:customStyle="1" w:styleId="30">
    <w:name w:val="Assunto do comentário Char"/>
    <w:basedOn w:val="29"/>
    <w:link w:val="7"/>
    <w:semiHidden/>
    <w:qFormat/>
    <w:uiPriority w:val="0"/>
    <w:rPr>
      <w:rFonts w:ascii="Arial" w:hAnsi="Arial" w:cs="Tahoma"/>
      <w:b/>
      <w:bCs/>
    </w:rPr>
  </w:style>
  <w:style w:type="character" w:customStyle="1" w:styleId="31">
    <w:name w:val="Texto de balão Char"/>
    <w:basedOn w:val="10"/>
    <w:link w:val="9"/>
    <w:semiHidden/>
    <w:qFormat/>
    <w:uiPriority w:val="0"/>
    <w:rPr>
      <w:rFonts w:ascii="Segoe UI" w:hAnsi="Segoe UI" w:cs="Segoe UI"/>
      <w:sz w:val="18"/>
      <w:szCs w:val="18"/>
    </w:rPr>
  </w:style>
  <w:style w:type="paragraph" w:customStyle="1" w:styleId="32">
    <w:name w:val="Cabeçalho1"/>
    <w:basedOn w:val="1"/>
    <w:qFormat/>
    <w:uiPriority w:val="0"/>
    <w:pPr>
      <w:tabs>
        <w:tab w:val="center" w:pos="4252"/>
        <w:tab w:val="right" w:pos="8504"/>
      </w:tabs>
      <w:suppressAutoHyphens/>
      <w:spacing w:after="200" w:line="276" w:lineRule="auto"/>
    </w:pPr>
    <w:rPr>
      <w:sz w:val="24"/>
      <w:lang w:eastAsia="ar-SA"/>
    </w:rPr>
  </w:style>
  <w:style w:type="paragraph" w:customStyle="1" w:styleId="33">
    <w:name w:val="Rodapé1"/>
    <w:basedOn w:val="1"/>
    <w:qFormat/>
    <w:uiPriority w:val="99"/>
    <w:pPr>
      <w:suppressLineNumbers/>
      <w:tabs>
        <w:tab w:val="center" w:pos="4252"/>
        <w:tab w:val="right" w:pos="8504"/>
      </w:tabs>
      <w:suppressAutoHyphens/>
      <w:spacing w:after="200" w:line="276" w:lineRule="auto"/>
    </w:pPr>
    <w:rPr>
      <w:lang w:eastAsia="ar-SA"/>
    </w:rPr>
  </w:style>
  <w:style w:type="paragraph" w:customStyle="1" w:styleId="34">
    <w:name w:val="Standard"/>
    <w:qFormat/>
    <w:uiPriority w:val="0"/>
    <w:pPr>
      <w:widowControl w:val="0"/>
      <w:suppressAutoHyphens/>
      <w:spacing w:line="276" w:lineRule="auto"/>
      <w:textAlignment w:val="baseline"/>
    </w:pPr>
    <w:rPr>
      <w:rFonts w:ascii="Times New Roman" w:hAnsi="Times New Roman" w:eastAsia="SimSun" w:cs="Mangal"/>
      <w:color w:val="00000A"/>
      <w:sz w:val="24"/>
      <w:lang w:val="pt-BR"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D1055-97D7-46F9-BA04-87682D846AA8}">
  <ds:schemaRefs/>
</ds:datastoreItem>
</file>

<file path=customXml/itemProps3.xml><?xml version="1.0" encoding="utf-8"?>
<ds:datastoreItem xmlns:ds="http://schemas.openxmlformats.org/officeDocument/2006/customXml" ds:itemID="{D26E449D-27A8-4545-A26D-B76A4055246A}">
  <ds:schemaRefs/>
</ds:datastoreItem>
</file>

<file path=customXml/itemProps4.xml><?xml version="1.0" encoding="utf-8"?>
<ds:datastoreItem xmlns:ds="http://schemas.openxmlformats.org/officeDocument/2006/customXml" ds:itemID="{C797626B-4393-45B8-A3F1-57035870E532}">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6</Pages>
  <Words>1894</Words>
  <Characters>10228</Characters>
  <Lines>85</Lines>
  <Paragraphs>24</Paragraphs>
  <TotalTime>23</TotalTime>
  <ScaleCrop>false</ScaleCrop>
  <LinksUpToDate>false</LinksUpToDate>
  <CharactersWithSpaces>12098</CharactersWithSpaces>
  <Application>WPS Office_11.2.0.9431_F1E327BC-269C-435d-A152-05C5408002CA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2020-05-22T19:01:00Z</dcterms:created>
  <dc:creator>Manoel Paz</dc:creator>
  <dc:description>Modelo idêntico ao de compras, salvo no que diz respeito à especificação do objeto e à respectiva nota explicativa.</dc:description>
  <cp:lastModifiedBy>Carvalho</cp:lastModifiedBy>
  <dcterms:modified xsi:type="dcterms:W3CDTF">2020-06-25T18:12:21Z</dcterms:modified>
  <dc:title>MODELO</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KSOProductBuildVer">
    <vt:lpwstr>1046-11.2.0.9431</vt:lpwstr>
  </property>
</Properties>
</file>